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7BC17" w14:textId="77777777" w:rsidR="005B0A9B" w:rsidRPr="005B0A9B" w:rsidRDefault="005B0A9B" w:rsidP="005B0A9B">
      <w:pPr>
        <w:spacing w:after="0"/>
        <w:jc w:val="right"/>
        <w:rPr>
          <w:rFonts w:ascii="Book Antiqua" w:hAnsi="Book Antiqua"/>
          <w:b/>
          <w:bCs/>
          <w:color w:val="000000"/>
          <w:szCs w:val="24"/>
          <w:lang w:eastAsia="en-GB"/>
        </w:rPr>
      </w:pPr>
      <w:r w:rsidRPr="005B0A9B">
        <w:rPr>
          <w:rFonts w:ascii="Book Antiqua" w:hAnsi="Book Antiqua"/>
          <w:b/>
          <w:bCs/>
          <w:color w:val="000000"/>
          <w:szCs w:val="24"/>
          <w:lang w:eastAsia="en-GB"/>
        </w:rPr>
        <w:t>[2020] UKUT 0354 (TCC)</w:t>
      </w:r>
    </w:p>
    <w:p w14:paraId="0A27D56C" w14:textId="77777777" w:rsidR="005B0A9B" w:rsidRDefault="005B0A9B" w:rsidP="005B0A9B">
      <w:pPr>
        <w:jc w:val="right"/>
        <w:rPr>
          <w:b/>
          <w:bCs/>
          <w:iCs/>
          <w:noProof/>
          <w:lang w:eastAsia="en-GB"/>
        </w:rPr>
      </w:pPr>
    </w:p>
    <w:p w14:paraId="0B156AA7" w14:textId="77777777" w:rsidR="005B0A9B" w:rsidRDefault="005B0A9B" w:rsidP="008313FB">
      <w:pPr>
        <w:jc w:val="center"/>
        <w:rPr>
          <w:b/>
          <w:bCs/>
          <w:iCs/>
          <w:noProof/>
          <w:lang w:eastAsia="en-GB"/>
        </w:rPr>
      </w:pPr>
    </w:p>
    <w:p w14:paraId="0599E642" w14:textId="3533461C" w:rsidR="005E33E2" w:rsidRPr="008313FB" w:rsidRDefault="005D53BD" w:rsidP="008313FB">
      <w:pPr>
        <w:jc w:val="center"/>
      </w:pPr>
      <w:r>
        <w:rPr>
          <w:b/>
          <w:bCs/>
          <w:iCs/>
          <w:noProof/>
          <w:lang w:eastAsia="en-GB"/>
        </w:rPr>
        <w:drawing>
          <wp:inline distT="0" distB="0" distL="0" distR="0" wp14:anchorId="4FD9CF58" wp14:editId="71F43610">
            <wp:extent cx="14668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123950"/>
                    </a:xfrm>
                    <a:prstGeom prst="rect">
                      <a:avLst/>
                    </a:prstGeom>
                    <a:noFill/>
                    <a:ln>
                      <a:noFill/>
                    </a:ln>
                  </pic:spPr>
                </pic:pic>
              </a:graphicData>
            </a:graphic>
          </wp:inline>
        </w:drawing>
      </w:r>
      <w:bookmarkStart w:id="0" w:name="_GoBack"/>
      <w:bookmarkEnd w:id="0"/>
    </w:p>
    <w:p w14:paraId="12E0ACD6" w14:textId="45F235A8" w:rsidR="006B219B" w:rsidRPr="006B219B" w:rsidRDefault="006B219B" w:rsidP="00114010">
      <w:pPr>
        <w:spacing w:after="0"/>
        <w:ind w:left="4320" w:right="720" w:firstLine="720"/>
        <w:jc w:val="right"/>
        <w:rPr>
          <w:b/>
          <w:spacing w:val="-3"/>
          <w:szCs w:val="24"/>
        </w:rPr>
      </w:pPr>
      <w:r w:rsidRPr="006B219B">
        <w:rPr>
          <w:b/>
          <w:spacing w:val="-3"/>
          <w:szCs w:val="24"/>
        </w:rPr>
        <w:t>Appeal number</w:t>
      </w:r>
      <w:r w:rsidR="00114010">
        <w:rPr>
          <w:b/>
          <w:spacing w:val="-3"/>
          <w:szCs w:val="24"/>
        </w:rPr>
        <w:t>s</w:t>
      </w:r>
      <w:r w:rsidRPr="006B219B">
        <w:rPr>
          <w:b/>
          <w:spacing w:val="-3"/>
          <w:szCs w:val="24"/>
        </w:rPr>
        <w:t>:</w:t>
      </w:r>
      <w:r w:rsidR="000121E5">
        <w:rPr>
          <w:b/>
          <w:spacing w:val="-3"/>
          <w:szCs w:val="24"/>
        </w:rPr>
        <w:t xml:space="preserve"> </w:t>
      </w:r>
      <w:r w:rsidR="00F92286">
        <w:rPr>
          <w:b/>
          <w:spacing w:val="-3"/>
          <w:szCs w:val="24"/>
        </w:rPr>
        <w:t>UT</w:t>
      </w:r>
      <w:r w:rsidR="002971A2">
        <w:rPr>
          <w:b/>
          <w:spacing w:val="-3"/>
          <w:szCs w:val="24"/>
        </w:rPr>
        <w:t>/20</w:t>
      </w:r>
      <w:r w:rsidR="000C032A">
        <w:rPr>
          <w:b/>
          <w:spacing w:val="-3"/>
          <w:szCs w:val="24"/>
        </w:rPr>
        <w:t>19</w:t>
      </w:r>
      <w:r w:rsidR="002971A2">
        <w:rPr>
          <w:b/>
          <w:spacing w:val="-3"/>
          <w:szCs w:val="24"/>
        </w:rPr>
        <w:t>/</w:t>
      </w:r>
      <w:r w:rsidR="00BF682D">
        <w:rPr>
          <w:b/>
          <w:spacing w:val="-3"/>
          <w:szCs w:val="24"/>
        </w:rPr>
        <w:t>0</w:t>
      </w:r>
      <w:r w:rsidR="00114010">
        <w:rPr>
          <w:b/>
          <w:spacing w:val="-3"/>
          <w:szCs w:val="24"/>
        </w:rPr>
        <w:t>089</w:t>
      </w:r>
      <w:r w:rsidR="00114010">
        <w:rPr>
          <w:b/>
          <w:spacing w:val="-3"/>
          <w:szCs w:val="24"/>
        </w:rPr>
        <w:br/>
        <w:t>UT/20</w:t>
      </w:r>
      <w:r w:rsidR="000C032A">
        <w:rPr>
          <w:b/>
          <w:spacing w:val="-3"/>
          <w:szCs w:val="24"/>
        </w:rPr>
        <w:t>19</w:t>
      </w:r>
      <w:r w:rsidR="00114010">
        <w:rPr>
          <w:b/>
          <w:spacing w:val="-3"/>
          <w:szCs w:val="24"/>
        </w:rPr>
        <w:t>/0101</w:t>
      </w:r>
      <w:r w:rsidR="009A11F6">
        <w:rPr>
          <w:b/>
          <w:spacing w:val="-3"/>
          <w:szCs w:val="24"/>
        </w:rPr>
        <w:t xml:space="preserve"> </w:t>
      </w:r>
    </w:p>
    <w:p w14:paraId="71CE21FB" w14:textId="77777777" w:rsidR="006B219B" w:rsidRPr="006B219B" w:rsidRDefault="006B219B" w:rsidP="006B219B">
      <w:pPr>
        <w:spacing w:after="0"/>
        <w:ind w:right="720"/>
      </w:pPr>
    </w:p>
    <w:p w14:paraId="65FFC376" w14:textId="0DCEAB0C" w:rsidR="00114010" w:rsidRDefault="00D0054C" w:rsidP="006B219B">
      <w:pPr>
        <w:spacing w:after="0"/>
        <w:jc w:val="left"/>
        <w:rPr>
          <w:b/>
        </w:rPr>
      </w:pPr>
      <w:r w:rsidRPr="00D0054C">
        <w:rPr>
          <w:b/>
          <w:i/>
          <w:iCs/>
        </w:rPr>
        <w:t>CORPORATION TAX – whether the UK legislation in relation to intra-group disposals is compliant with EU law –</w:t>
      </w:r>
      <w:r>
        <w:rPr>
          <w:b/>
          <w:i/>
          <w:iCs/>
        </w:rPr>
        <w:t xml:space="preserve"> </w:t>
      </w:r>
      <w:r w:rsidRPr="00D0054C">
        <w:rPr>
          <w:b/>
          <w:i/>
          <w:iCs/>
        </w:rPr>
        <w:t>the applicable freedoms, whether or not the provisions in question restrict a freedom</w:t>
      </w:r>
      <w:r>
        <w:rPr>
          <w:b/>
          <w:i/>
          <w:iCs/>
        </w:rPr>
        <w:t xml:space="preserve"> – w</w:t>
      </w:r>
      <w:r w:rsidRPr="00D0054C">
        <w:rPr>
          <w:b/>
          <w:i/>
          <w:iCs/>
        </w:rPr>
        <w:t xml:space="preserve">hether or not </w:t>
      </w:r>
      <w:r>
        <w:rPr>
          <w:b/>
          <w:i/>
          <w:iCs/>
        </w:rPr>
        <w:t xml:space="preserve">any restriction </w:t>
      </w:r>
      <w:r w:rsidRPr="00D0054C">
        <w:rPr>
          <w:b/>
          <w:i/>
          <w:iCs/>
        </w:rPr>
        <w:t xml:space="preserve">can be justified </w:t>
      </w:r>
      <w:r>
        <w:rPr>
          <w:b/>
          <w:i/>
          <w:iCs/>
        </w:rPr>
        <w:t>–</w:t>
      </w:r>
      <w:r w:rsidRPr="00D0054C">
        <w:rPr>
          <w:b/>
          <w:i/>
          <w:iCs/>
        </w:rPr>
        <w:t>proportionality of restriction</w:t>
      </w:r>
      <w:r>
        <w:rPr>
          <w:b/>
          <w:i/>
          <w:iCs/>
        </w:rPr>
        <w:t>s – c</w:t>
      </w:r>
      <w:r w:rsidRPr="00D0054C">
        <w:rPr>
          <w:b/>
          <w:i/>
          <w:iCs/>
        </w:rPr>
        <w:t xml:space="preserve">onforming interpretation and disapplication – consideration of movements of capital – </w:t>
      </w:r>
      <w:r>
        <w:rPr>
          <w:b/>
          <w:i/>
          <w:iCs/>
        </w:rPr>
        <w:t>whether to refer questions of EU law to the Court of Justice of the European Union</w:t>
      </w:r>
    </w:p>
    <w:p w14:paraId="665B5036" w14:textId="77777777" w:rsidR="00114010" w:rsidRDefault="00114010" w:rsidP="006B219B">
      <w:pPr>
        <w:spacing w:after="0"/>
        <w:jc w:val="left"/>
        <w:rPr>
          <w:b/>
        </w:rPr>
      </w:pPr>
    </w:p>
    <w:p w14:paraId="45B1133B" w14:textId="3EA1F34E" w:rsidR="006B219B" w:rsidRPr="006B219B" w:rsidRDefault="006B219B" w:rsidP="006B219B">
      <w:pPr>
        <w:spacing w:after="0"/>
        <w:jc w:val="left"/>
        <w:rPr>
          <w:b/>
        </w:rPr>
      </w:pPr>
      <w:r w:rsidRPr="006B219B">
        <w:rPr>
          <w:b/>
        </w:rPr>
        <w:t xml:space="preserve">UPPER TRIBUNAL </w:t>
      </w:r>
    </w:p>
    <w:p w14:paraId="4AB22293" w14:textId="6EE50ADE" w:rsidR="006B219B" w:rsidRDefault="006B219B" w:rsidP="008426A9">
      <w:pPr>
        <w:spacing w:after="0"/>
        <w:jc w:val="left"/>
        <w:rPr>
          <w:b/>
        </w:rPr>
      </w:pPr>
      <w:r w:rsidRPr="006B219B">
        <w:rPr>
          <w:b/>
        </w:rPr>
        <w:t>(TAX AND CHANCERY CHAMBER)</w:t>
      </w:r>
    </w:p>
    <w:p w14:paraId="63DED5FD" w14:textId="77777777" w:rsidR="008426A9" w:rsidRPr="006B219B" w:rsidRDefault="008426A9" w:rsidP="008426A9">
      <w:pPr>
        <w:spacing w:after="0"/>
        <w:jc w:val="left"/>
        <w:rPr>
          <w:b/>
        </w:rPr>
      </w:pP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72"/>
        <w:gridCol w:w="1803"/>
      </w:tblGrid>
      <w:tr w:rsidR="00E5557E" w:rsidRPr="006B219B" w14:paraId="700A035F" w14:textId="77777777" w:rsidTr="00E5557E">
        <w:trPr>
          <w:trHeight w:val="848"/>
        </w:trPr>
        <w:tc>
          <w:tcPr>
            <w:tcW w:w="1800" w:type="dxa"/>
          </w:tcPr>
          <w:p w14:paraId="2E3E62C9" w14:textId="77777777" w:rsidR="00E5557E" w:rsidRDefault="00E5557E" w:rsidP="008426A9">
            <w:pPr>
              <w:jc w:val="center"/>
              <w:rPr>
                <w:b/>
              </w:rPr>
            </w:pPr>
          </w:p>
        </w:tc>
        <w:tc>
          <w:tcPr>
            <w:tcW w:w="5472" w:type="dxa"/>
            <w:shd w:val="clear" w:color="auto" w:fill="auto"/>
          </w:tcPr>
          <w:p w14:paraId="02920C7E" w14:textId="4058EB0F" w:rsidR="00E5557E" w:rsidRPr="006B219B" w:rsidRDefault="00E5557E" w:rsidP="008426A9">
            <w:pPr>
              <w:jc w:val="center"/>
              <w:rPr>
                <w:b/>
              </w:rPr>
            </w:pPr>
            <w:r>
              <w:rPr>
                <w:b/>
              </w:rPr>
              <w:t>GALLAHER LIMITED</w:t>
            </w:r>
          </w:p>
        </w:tc>
        <w:tc>
          <w:tcPr>
            <w:tcW w:w="1803" w:type="dxa"/>
            <w:shd w:val="clear" w:color="auto" w:fill="auto"/>
          </w:tcPr>
          <w:p w14:paraId="37F5E975" w14:textId="4C5E25FE" w:rsidR="00E5557E" w:rsidRPr="006B219B" w:rsidRDefault="00E5557E" w:rsidP="006B219B">
            <w:pPr>
              <w:rPr>
                <w:b/>
              </w:rPr>
            </w:pPr>
            <w:r w:rsidRPr="006B219B">
              <w:rPr>
                <w:b/>
              </w:rPr>
              <w:t>Appellant</w:t>
            </w:r>
            <w:r>
              <w:rPr>
                <w:b/>
              </w:rPr>
              <w:t xml:space="preserve"> (UT/20</w:t>
            </w:r>
            <w:r w:rsidR="000C032A">
              <w:rPr>
                <w:b/>
              </w:rPr>
              <w:t>19</w:t>
            </w:r>
            <w:r>
              <w:rPr>
                <w:b/>
              </w:rPr>
              <w:t>/0101)</w:t>
            </w:r>
            <w:r>
              <w:rPr>
                <w:b/>
              </w:rPr>
              <w:br/>
              <w:t>Respondent (UT/20</w:t>
            </w:r>
            <w:r w:rsidR="000C032A">
              <w:rPr>
                <w:b/>
              </w:rPr>
              <w:t>19</w:t>
            </w:r>
            <w:r>
              <w:rPr>
                <w:b/>
              </w:rPr>
              <w:t>/0089)</w:t>
            </w:r>
          </w:p>
        </w:tc>
      </w:tr>
      <w:tr w:rsidR="00E5557E" w:rsidRPr="006B219B" w14:paraId="19488202" w14:textId="77777777" w:rsidTr="00E5557E">
        <w:trPr>
          <w:trHeight w:val="562"/>
        </w:trPr>
        <w:tc>
          <w:tcPr>
            <w:tcW w:w="1800" w:type="dxa"/>
          </w:tcPr>
          <w:p w14:paraId="53F4EA5B" w14:textId="77777777" w:rsidR="00E5557E" w:rsidRPr="006B219B" w:rsidRDefault="00E5557E" w:rsidP="006B219B">
            <w:pPr>
              <w:jc w:val="center"/>
              <w:rPr>
                <w:b/>
              </w:rPr>
            </w:pPr>
          </w:p>
        </w:tc>
        <w:tc>
          <w:tcPr>
            <w:tcW w:w="5472" w:type="dxa"/>
            <w:shd w:val="clear" w:color="auto" w:fill="auto"/>
          </w:tcPr>
          <w:p w14:paraId="4B304A7F" w14:textId="2A6085AC" w:rsidR="00E5557E" w:rsidRPr="006B219B" w:rsidRDefault="00E5557E" w:rsidP="006B219B">
            <w:pPr>
              <w:jc w:val="center"/>
              <w:rPr>
                <w:b/>
              </w:rPr>
            </w:pPr>
            <w:r w:rsidRPr="006B219B">
              <w:rPr>
                <w:b/>
              </w:rPr>
              <w:t>-and-</w:t>
            </w:r>
          </w:p>
        </w:tc>
        <w:tc>
          <w:tcPr>
            <w:tcW w:w="1803" w:type="dxa"/>
            <w:shd w:val="clear" w:color="auto" w:fill="auto"/>
          </w:tcPr>
          <w:p w14:paraId="16A6D510" w14:textId="77777777" w:rsidR="00E5557E" w:rsidRPr="006B219B" w:rsidRDefault="00E5557E" w:rsidP="006B219B">
            <w:pPr>
              <w:rPr>
                <w:b/>
              </w:rPr>
            </w:pPr>
          </w:p>
        </w:tc>
      </w:tr>
      <w:tr w:rsidR="00E5557E" w:rsidRPr="006B219B" w14:paraId="76AA921E" w14:textId="77777777" w:rsidTr="00E5557E">
        <w:tc>
          <w:tcPr>
            <w:tcW w:w="1800" w:type="dxa"/>
          </w:tcPr>
          <w:p w14:paraId="33A8D636" w14:textId="77777777" w:rsidR="00E5557E" w:rsidRPr="00012024" w:rsidRDefault="00E5557E" w:rsidP="00012024">
            <w:pPr>
              <w:jc w:val="center"/>
              <w:rPr>
                <w:b/>
              </w:rPr>
            </w:pPr>
          </w:p>
        </w:tc>
        <w:tc>
          <w:tcPr>
            <w:tcW w:w="5472" w:type="dxa"/>
            <w:shd w:val="clear" w:color="auto" w:fill="auto"/>
          </w:tcPr>
          <w:p w14:paraId="5358277C" w14:textId="75CF7AD9" w:rsidR="00E5557E" w:rsidRPr="00012024" w:rsidRDefault="00E5557E" w:rsidP="00012024">
            <w:pPr>
              <w:jc w:val="center"/>
              <w:rPr>
                <w:b/>
              </w:rPr>
            </w:pPr>
            <w:r w:rsidRPr="00012024">
              <w:rPr>
                <w:b/>
              </w:rPr>
              <w:t>THE COMMISSIONERS FOR HER MAJESTY’S</w:t>
            </w:r>
          </w:p>
          <w:p w14:paraId="3F8FCDB7" w14:textId="055C01DF" w:rsidR="00E5557E" w:rsidRPr="006B219B" w:rsidRDefault="00E45C6B" w:rsidP="00E45C6B">
            <w:pPr>
              <w:jc w:val="center"/>
              <w:rPr>
                <w:b/>
              </w:rPr>
            </w:pPr>
            <w:r>
              <w:rPr>
                <w:b/>
              </w:rPr>
              <w:t>REVENUE AND CUSTOMS</w:t>
            </w:r>
          </w:p>
        </w:tc>
        <w:tc>
          <w:tcPr>
            <w:tcW w:w="1803" w:type="dxa"/>
            <w:shd w:val="clear" w:color="auto" w:fill="auto"/>
          </w:tcPr>
          <w:p w14:paraId="0AD3B3EF" w14:textId="278940EB" w:rsidR="00E5557E" w:rsidRPr="006B219B" w:rsidRDefault="00E5557E" w:rsidP="006B219B">
            <w:pPr>
              <w:rPr>
                <w:b/>
              </w:rPr>
            </w:pPr>
            <w:r w:rsidRPr="006B219B">
              <w:rPr>
                <w:b/>
              </w:rPr>
              <w:t>Respondent</w:t>
            </w:r>
            <w:r>
              <w:rPr>
                <w:b/>
              </w:rPr>
              <w:t>s (UT/20</w:t>
            </w:r>
            <w:r w:rsidR="000C032A">
              <w:rPr>
                <w:b/>
              </w:rPr>
              <w:t>19</w:t>
            </w:r>
            <w:r>
              <w:rPr>
                <w:b/>
              </w:rPr>
              <w:t>/0101)</w:t>
            </w:r>
            <w:r>
              <w:rPr>
                <w:b/>
              </w:rPr>
              <w:br/>
              <w:t>Appellants (UT/20</w:t>
            </w:r>
            <w:r w:rsidR="000C032A">
              <w:rPr>
                <w:b/>
              </w:rPr>
              <w:t>19</w:t>
            </w:r>
            <w:r>
              <w:rPr>
                <w:b/>
              </w:rPr>
              <w:t>/0089)</w:t>
            </w:r>
          </w:p>
        </w:tc>
      </w:tr>
    </w:tbl>
    <w:p w14:paraId="0D0E6976" w14:textId="77777777" w:rsidR="006B219B" w:rsidRPr="006B219B" w:rsidRDefault="006B219B" w:rsidP="006B219B">
      <w:pPr>
        <w:spacing w:after="0"/>
        <w:rPr>
          <w:b/>
        </w:rPr>
      </w:pPr>
    </w:p>
    <w:tbl>
      <w:tblPr>
        <w:tblStyle w:val="TableGrid1"/>
        <w:tblpPr w:leftFromText="180" w:rightFromText="180" w:vertAnchor="text" w:horzAnchor="margin" w:tblpY="11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7"/>
      </w:tblGrid>
      <w:tr w:rsidR="006B219B" w:rsidRPr="006B219B" w14:paraId="7287900D" w14:textId="77777777" w:rsidTr="00922399">
        <w:tc>
          <w:tcPr>
            <w:tcW w:w="2830" w:type="dxa"/>
          </w:tcPr>
          <w:p w14:paraId="7CF07E6C" w14:textId="77777777" w:rsidR="006B219B" w:rsidRPr="006B219B" w:rsidRDefault="006B219B" w:rsidP="006B219B">
            <w:pPr>
              <w:jc w:val="center"/>
              <w:rPr>
                <w:b/>
              </w:rPr>
            </w:pPr>
            <w:r w:rsidRPr="006B219B">
              <w:rPr>
                <w:b/>
              </w:rPr>
              <w:t>TRIBUNAL</w:t>
            </w:r>
          </w:p>
        </w:tc>
        <w:tc>
          <w:tcPr>
            <w:tcW w:w="6237" w:type="dxa"/>
          </w:tcPr>
          <w:p w14:paraId="11BB4675" w14:textId="6530DD33" w:rsidR="006B219B" w:rsidRDefault="00114010" w:rsidP="006B219B">
            <w:pPr>
              <w:rPr>
                <w:b/>
              </w:rPr>
            </w:pPr>
            <w:r>
              <w:rPr>
                <w:b/>
              </w:rPr>
              <w:t>MR JUSTICE MILES</w:t>
            </w:r>
          </w:p>
          <w:p w14:paraId="312EFC08" w14:textId="2F7D9F5D" w:rsidR="00D22F1A" w:rsidRPr="006B219B" w:rsidRDefault="00B10D48" w:rsidP="006B219B">
            <w:pPr>
              <w:rPr>
                <w:b/>
              </w:rPr>
            </w:pPr>
            <w:r>
              <w:rPr>
                <w:b/>
              </w:rPr>
              <w:t>JUDGE ASHLEY GREENBANK</w:t>
            </w:r>
          </w:p>
        </w:tc>
      </w:tr>
      <w:tr w:rsidR="006B219B" w:rsidRPr="006B219B" w14:paraId="5D06D78D" w14:textId="77777777" w:rsidTr="00922399">
        <w:tc>
          <w:tcPr>
            <w:tcW w:w="2830" w:type="dxa"/>
          </w:tcPr>
          <w:p w14:paraId="55AE380F" w14:textId="77777777" w:rsidR="006B219B" w:rsidRPr="006B219B" w:rsidRDefault="006B219B" w:rsidP="006B219B">
            <w:pPr>
              <w:jc w:val="center"/>
              <w:rPr>
                <w:b/>
              </w:rPr>
            </w:pPr>
          </w:p>
        </w:tc>
        <w:tc>
          <w:tcPr>
            <w:tcW w:w="6237" w:type="dxa"/>
          </w:tcPr>
          <w:p w14:paraId="17A982AD" w14:textId="5E2E40ED" w:rsidR="006B219B" w:rsidRPr="006B219B" w:rsidRDefault="006B219B" w:rsidP="006B219B">
            <w:pPr>
              <w:rPr>
                <w:b/>
              </w:rPr>
            </w:pPr>
          </w:p>
        </w:tc>
      </w:tr>
    </w:tbl>
    <w:p w14:paraId="0224F117" w14:textId="0BAE5991" w:rsidR="006B219B" w:rsidRPr="006B219B" w:rsidRDefault="006B219B" w:rsidP="006B219B">
      <w:pPr>
        <w:spacing w:after="0"/>
        <w:rPr>
          <w:b/>
        </w:rPr>
      </w:pPr>
    </w:p>
    <w:p w14:paraId="7B6B70EC" w14:textId="640D9DB0" w:rsidR="008426A9" w:rsidRDefault="006B219B" w:rsidP="006B219B">
      <w:pPr>
        <w:spacing w:after="0"/>
        <w:rPr>
          <w:b/>
        </w:rPr>
      </w:pPr>
      <w:r w:rsidRPr="006B219B">
        <w:rPr>
          <w:b/>
        </w:rPr>
        <w:t xml:space="preserve">Sitting in public </w:t>
      </w:r>
      <w:r w:rsidR="007D3E65">
        <w:rPr>
          <w:b/>
        </w:rPr>
        <w:t xml:space="preserve">by way </w:t>
      </w:r>
      <w:r w:rsidR="000459D3">
        <w:rPr>
          <w:b/>
        </w:rPr>
        <w:t xml:space="preserve">of </w:t>
      </w:r>
      <w:r w:rsidR="00A40C5D">
        <w:rPr>
          <w:b/>
        </w:rPr>
        <w:t xml:space="preserve">remote </w:t>
      </w:r>
      <w:r w:rsidR="00D22F1A">
        <w:rPr>
          <w:b/>
        </w:rPr>
        <w:t>video</w:t>
      </w:r>
      <w:r w:rsidR="007F3534">
        <w:rPr>
          <w:b/>
        </w:rPr>
        <w:t xml:space="preserve"> </w:t>
      </w:r>
      <w:r w:rsidR="007D3E65">
        <w:rPr>
          <w:b/>
        </w:rPr>
        <w:t>hearing</w:t>
      </w:r>
      <w:r w:rsidR="00E5557E">
        <w:rPr>
          <w:b/>
        </w:rPr>
        <w:t>,</w:t>
      </w:r>
      <w:r w:rsidR="00224972">
        <w:rPr>
          <w:b/>
        </w:rPr>
        <w:t xml:space="preserve"> treated as taking place in</w:t>
      </w:r>
      <w:r w:rsidR="00CC6984">
        <w:rPr>
          <w:b/>
        </w:rPr>
        <w:t xml:space="preserve"> London</w:t>
      </w:r>
      <w:r w:rsidR="00A40C5D">
        <w:rPr>
          <w:b/>
        </w:rPr>
        <w:t xml:space="preserve">, </w:t>
      </w:r>
      <w:r w:rsidR="000E2AE7">
        <w:rPr>
          <w:b/>
        </w:rPr>
        <w:t xml:space="preserve">on </w:t>
      </w:r>
      <w:r w:rsidR="00114010">
        <w:rPr>
          <w:b/>
        </w:rPr>
        <w:t xml:space="preserve">26, 27 and 28 October </w:t>
      </w:r>
      <w:r w:rsidR="0090149C">
        <w:rPr>
          <w:b/>
        </w:rPr>
        <w:t>2020</w:t>
      </w:r>
    </w:p>
    <w:p w14:paraId="112474CF" w14:textId="77777777" w:rsidR="00114010" w:rsidRPr="006B219B" w:rsidRDefault="00114010" w:rsidP="006B219B">
      <w:pPr>
        <w:spacing w:after="0"/>
        <w:rPr>
          <w:b/>
        </w:rPr>
      </w:pPr>
    </w:p>
    <w:p w14:paraId="4A0B7E46" w14:textId="4D3777D0" w:rsidR="00CA44DB" w:rsidRDefault="00E5557E" w:rsidP="00D51960">
      <w:pPr>
        <w:spacing w:after="0"/>
        <w:rPr>
          <w:b/>
        </w:rPr>
      </w:pPr>
      <w:r>
        <w:rPr>
          <w:b/>
        </w:rPr>
        <w:t xml:space="preserve">Philip Baker QC and </w:t>
      </w:r>
      <w:r w:rsidR="00DC4E39">
        <w:rPr>
          <w:b/>
        </w:rPr>
        <w:t xml:space="preserve">Mr </w:t>
      </w:r>
      <w:r>
        <w:rPr>
          <w:b/>
        </w:rPr>
        <w:t>Imran Afzal</w:t>
      </w:r>
      <w:r w:rsidR="00DC4E39">
        <w:rPr>
          <w:b/>
        </w:rPr>
        <w:t>,</w:t>
      </w:r>
      <w:r>
        <w:rPr>
          <w:b/>
        </w:rPr>
        <w:t xml:space="preserve"> </w:t>
      </w:r>
      <w:r w:rsidR="00DC4E39">
        <w:rPr>
          <w:b/>
        </w:rPr>
        <w:t xml:space="preserve">instructed by Freshfields Bruckhaus Deringer LLP, </w:t>
      </w:r>
      <w:r>
        <w:rPr>
          <w:b/>
        </w:rPr>
        <w:t>for Gallaher Limited</w:t>
      </w:r>
    </w:p>
    <w:p w14:paraId="6354D1E0" w14:textId="77777777" w:rsidR="00E5557E" w:rsidRPr="006B219B" w:rsidRDefault="00E5557E" w:rsidP="00D51960">
      <w:pPr>
        <w:spacing w:after="0"/>
        <w:rPr>
          <w:b/>
        </w:rPr>
      </w:pPr>
    </w:p>
    <w:p w14:paraId="67887B64" w14:textId="2D609F56" w:rsidR="00CC6984" w:rsidRDefault="00E5557E" w:rsidP="00CA44DB">
      <w:pPr>
        <w:rPr>
          <w:b/>
        </w:rPr>
      </w:pPr>
      <w:r>
        <w:rPr>
          <w:b/>
        </w:rPr>
        <w:lastRenderedPageBreak/>
        <w:t xml:space="preserve">Rupert Baldry QC and </w:t>
      </w:r>
      <w:r w:rsidR="00DC4E39">
        <w:rPr>
          <w:b/>
        </w:rPr>
        <w:t xml:space="preserve">Mr </w:t>
      </w:r>
      <w:r>
        <w:rPr>
          <w:b/>
        </w:rPr>
        <w:t>Ben Elliot</w:t>
      </w:r>
      <w:r w:rsidR="008126AB">
        <w:rPr>
          <w:b/>
        </w:rPr>
        <w:t>t</w:t>
      </w:r>
      <w:r>
        <w:rPr>
          <w:b/>
        </w:rPr>
        <w:t xml:space="preserve">, </w:t>
      </w:r>
      <w:r w:rsidR="00DC4E39">
        <w:rPr>
          <w:b/>
        </w:rPr>
        <w:t xml:space="preserve">instructed by the General Counsel and Solicitor to </w:t>
      </w:r>
      <w:r w:rsidR="00DC4E39" w:rsidRPr="006B219B">
        <w:rPr>
          <w:b/>
        </w:rPr>
        <w:t xml:space="preserve">HM Revenue </w:t>
      </w:r>
      <w:r w:rsidR="00DC4E39">
        <w:rPr>
          <w:b/>
        </w:rPr>
        <w:t>&amp;</w:t>
      </w:r>
      <w:r w:rsidR="00DC4E39" w:rsidRPr="006B219B">
        <w:rPr>
          <w:b/>
        </w:rPr>
        <w:t xml:space="preserve"> Customs</w:t>
      </w:r>
      <w:r w:rsidR="00DC4E39">
        <w:rPr>
          <w:b/>
        </w:rPr>
        <w:t xml:space="preserve">, </w:t>
      </w:r>
      <w:r>
        <w:rPr>
          <w:b/>
        </w:rPr>
        <w:t xml:space="preserve">for the Commissioners for </w:t>
      </w:r>
      <w:r w:rsidR="00CC6984" w:rsidRPr="006B219B">
        <w:rPr>
          <w:b/>
        </w:rPr>
        <w:t>H</w:t>
      </w:r>
      <w:r w:rsidR="00DC4E39">
        <w:rPr>
          <w:b/>
        </w:rPr>
        <w:t xml:space="preserve">er </w:t>
      </w:r>
      <w:r w:rsidR="00CC6984" w:rsidRPr="006B219B">
        <w:rPr>
          <w:b/>
        </w:rPr>
        <w:t>M</w:t>
      </w:r>
      <w:r w:rsidR="00DC4E39">
        <w:rPr>
          <w:b/>
        </w:rPr>
        <w:t>ajesty’s</w:t>
      </w:r>
      <w:r w:rsidR="00CC6984" w:rsidRPr="006B219B">
        <w:rPr>
          <w:b/>
        </w:rPr>
        <w:t xml:space="preserve"> Revenue </w:t>
      </w:r>
      <w:r w:rsidR="00DC4E39">
        <w:rPr>
          <w:b/>
        </w:rPr>
        <w:t>and</w:t>
      </w:r>
      <w:r w:rsidR="00CC6984" w:rsidRPr="006B219B">
        <w:rPr>
          <w:b/>
        </w:rPr>
        <w:t xml:space="preserve"> Customs</w:t>
      </w:r>
    </w:p>
    <w:p w14:paraId="04CBA257" w14:textId="089216FC" w:rsidR="000928F6" w:rsidRPr="00D9183C" w:rsidRDefault="006B219B" w:rsidP="0090149C">
      <w:pPr>
        <w:ind w:left="2160" w:firstLine="720"/>
        <w:rPr>
          <w:b/>
        </w:rPr>
        <w:sectPr w:rsidR="000928F6" w:rsidRPr="00D9183C" w:rsidSect="001E75B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2160" w:left="1440" w:header="706" w:footer="706" w:gutter="0"/>
          <w:cols w:space="720"/>
          <w:titlePg/>
          <w:docGrid w:linePitch="326"/>
        </w:sectPr>
      </w:pPr>
      <w:r w:rsidRPr="006B219B">
        <w:rPr>
          <w:b/>
        </w:rPr>
        <w:t xml:space="preserve">© CROWN COPYRIGHT </w:t>
      </w:r>
      <w:r w:rsidR="000E75F6">
        <w:rPr>
          <w:b/>
        </w:rPr>
        <w:t>2020</w:t>
      </w:r>
    </w:p>
    <w:p w14:paraId="131F9BBB" w14:textId="28A7801F" w:rsidR="000928F6" w:rsidRDefault="000928F6" w:rsidP="00CB55B3">
      <w:pPr>
        <w:tabs>
          <w:tab w:val="center" w:pos="4046"/>
        </w:tabs>
        <w:jc w:val="center"/>
      </w:pPr>
      <w:r>
        <w:lastRenderedPageBreak/>
        <w:t>DECISION</w:t>
      </w:r>
    </w:p>
    <w:p w14:paraId="7345D75E" w14:textId="122021EC" w:rsidR="00FC1281" w:rsidRDefault="00FC1281" w:rsidP="00FC1281">
      <w:pPr>
        <w:pStyle w:val="Heading1"/>
      </w:pPr>
      <w:r>
        <w:t>Introduction</w:t>
      </w:r>
    </w:p>
    <w:p w14:paraId="3596D522" w14:textId="1395F8CC" w:rsidR="00FC1281" w:rsidRDefault="00DC4E39" w:rsidP="00BE55B6">
      <w:pPr>
        <w:pStyle w:val="Bodytexttax1"/>
      </w:pPr>
      <w:r>
        <w:t xml:space="preserve">This decision notice relates </w:t>
      </w:r>
      <w:r w:rsidR="000C032A">
        <w:t xml:space="preserve">to </w:t>
      </w:r>
      <w:r>
        <w:t xml:space="preserve">appeals from the decision of the First-tier Tribunal (Judge Tony </w:t>
      </w:r>
      <w:proofErr w:type="spellStart"/>
      <w:r>
        <w:t>Beare</w:t>
      </w:r>
      <w:proofErr w:type="spellEnd"/>
      <w:r>
        <w:t xml:space="preserve">) (the </w:t>
      </w:r>
      <w:r w:rsidR="00185948">
        <w:t>“</w:t>
      </w:r>
      <w:r>
        <w:t>FTT</w:t>
      </w:r>
      <w:r w:rsidR="00185948">
        <w:t>”</w:t>
      </w:r>
      <w:r>
        <w:t xml:space="preserve">) dated 25 March 2019.  </w:t>
      </w:r>
    </w:p>
    <w:p w14:paraId="70A41977" w14:textId="50A70FAD" w:rsidR="00FC1281" w:rsidRDefault="00FC1281" w:rsidP="00BE55B6">
      <w:pPr>
        <w:pStyle w:val="Bodytexttax1"/>
      </w:pPr>
      <w:r>
        <w:t>Th</w:t>
      </w:r>
      <w:r w:rsidR="009A4D08">
        <w:t>e FTT</w:t>
      </w:r>
      <w:r>
        <w:t xml:space="preserve"> decision concerned appeals made by Gallaher Limited (</w:t>
      </w:r>
      <w:r w:rsidR="00185948">
        <w:t>“</w:t>
      </w:r>
      <w:r>
        <w:t>Gallaher</w:t>
      </w:r>
      <w:r w:rsidR="00185948">
        <w:t>”</w:t>
      </w:r>
      <w:r>
        <w:t>) against two partial closure notices issued by Her Majesty’s Revenue and Customs (</w:t>
      </w:r>
      <w:r w:rsidR="00185948">
        <w:t>“</w:t>
      </w:r>
      <w:r>
        <w:t>HMRC</w:t>
      </w:r>
      <w:r w:rsidR="00185948">
        <w:t>”</w:t>
      </w:r>
      <w:r>
        <w:t>): the first, in relation to Gallaher’s return for the accounting period ended 31 December 2011</w:t>
      </w:r>
      <w:r w:rsidR="005540E6">
        <w:t xml:space="preserve"> (the </w:t>
      </w:r>
      <w:r w:rsidR="00185948">
        <w:t>“</w:t>
      </w:r>
      <w:r w:rsidR="005540E6">
        <w:t>2011 Appeal</w:t>
      </w:r>
      <w:r w:rsidR="00185948">
        <w:t>”</w:t>
      </w:r>
      <w:r w:rsidR="005540E6">
        <w:t>)</w:t>
      </w:r>
      <w:r>
        <w:t>; and the second, in relation to Gallaher’s return for the accounting period ended 31 December 2014</w:t>
      </w:r>
      <w:r w:rsidR="005540E6">
        <w:t xml:space="preserve"> (the </w:t>
      </w:r>
      <w:r w:rsidR="00185948">
        <w:t>“</w:t>
      </w:r>
      <w:r w:rsidR="005540E6">
        <w:t>2014 Appeal</w:t>
      </w:r>
      <w:r w:rsidR="00185948">
        <w:t>”</w:t>
      </w:r>
      <w:r w:rsidR="005540E6">
        <w:t>)</w:t>
      </w:r>
      <w:r>
        <w:t>.</w:t>
      </w:r>
    </w:p>
    <w:p w14:paraId="196152AE" w14:textId="47FF5CC4" w:rsidR="009A4D08" w:rsidRDefault="009A4D08" w:rsidP="00BE55B6">
      <w:pPr>
        <w:pStyle w:val="Bodytexttax1"/>
      </w:pPr>
      <w:r>
        <w:t xml:space="preserve">The </w:t>
      </w:r>
      <w:r w:rsidR="005540E6">
        <w:t>2011</w:t>
      </w:r>
      <w:r w:rsidR="00966741">
        <w:t xml:space="preserve"> </w:t>
      </w:r>
      <w:r w:rsidR="005540E6">
        <w:t>A</w:t>
      </w:r>
      <w:r>
        <w:t xml:space="preserve">ppeal </w:t>
      </w:r>
      <w:r w:rsidR="007B1A9C">
        <w:t>related to the conclusion in th</w:t>
      </w:r>
      <w:r w:rsidR="005540E6">
        <w:t>e partial closure</w:t>
      </w:r>
      <w:r w:rsidR="007B1A9C">
        <w:t xml:space="preserve"> notice that Gallaher was liable to pay corporation tax on gains arising on the transfer of certain </w:t>
      </w:r>
      <w:r w:rsidR="000C032A">
        <w:t>intellectual property rights relating to tobacco brands</w:t>
      </w:r>
      <w:r w:rsidR="007B1A9C">
        <w:t xml:space="preserve"> </w:t>
      </w:r>
      <w:r w:rsidR="00807C85">
        <w:t xml:space="preserve">(the “Brands”) </w:t>
      </w:r>
      <w:r w:rsidR="000C032A">
        <w:t xml:space="preserve">and related assets </w:t>
      </w:r>
      <w:r w:rsidR="007B1A9C">
        <w:t>to JT International SA (</w:t>
      </w:r>
      <w:r w:rsidR="00185948">
        <w:t>“</w:t>
      </w:r>
      <w:r w:rsidR="007B1A9C">
        <w:t>JTISA</w:t>
      </w:r>
      <w:r w:rsidR="00185948">
        <w:t>”</w:t>
      </w:r>
      <w:r w:rsidR="007B1A9C">
        <w:t>).  JTISA was at the time, and remains, a company which is a member of the same group as Gallaher</w:t>
      </w:r>
      <w:r w:rsidR="00DC3199">
        <w:t xml:space="preserve"> and</w:t>
      </w:r>
      <w:r w:rsidR="001336E6">
        <w:t xml:space="preserve"> was, and remains, resident in </w:t>
      </w:r>
      <w:r w:rsidR="00DC3199">
        <w:t xml:space="preserve">Geneva, </w:t>
      </w:r>
      <w:r w:rsidR="001336E6">
        <w:t xml:space="preserve">Switzerland for tax purposes.  </w:t>
      </w:r>
      <w:r w:rsidR="005B3EF6">
        <w:t xml:space="preserve">We have referred to </w:t>
      </w:r>
      <w:r w:rsidR="005B0EF5">
        <w:t xml:space="preserve">the transfer of </w:t>
      </w:r>
      <w:r w:rsidR="00807C85">
        <w:t>the Brands</w:t>
      </w:r>
      <w:r w:rsidR="005B0EF5">
        <w:t xml:space="preserve"> </w:t>
      </w:r>
      <w:r w:rsidR="000C032A">
        <w:t xml:space="preserve">and related assets </w:t>
      </w:r>
      <w:r w:rsidR="005B0EF5">
        <w:t xml:space="preserve">by Gallaher to JTISA </w:t>
      </w:r>
      <w:r w:rsidR="005B3EF6">
        <w:t xml:space="preserve">as the </w:t>
      </w:r>
      <w:r w:rsidR="00185948">
        <w:t>“</w:t>
      </w:r>
      <w:r w:rsidR="005B3EF6">
        <w:t>2011 Disposal</w:t>
      </w:r>
      <w:r w:rsidR="00185948">
        <w:t>”</w:t>
      </w:r>
      <w:r w:rsidR="005B0EF5">
        <w:t xml:space="preserve"> in this decision notice</w:t>
      </w:r>
      <w:r w:rsidR="005B3EF6">
        <w:t xml:space="preserve">. </w:t>
      </w:r>
    </w:p>
    <w:p w14:paraId="3C254808" w14:textId="42AFB282" w:rsidR="007B1A9C" w:rsidRDefault="007B1A9C" w:rsidP="007B1A9C">
      <w:pPr>
        <w:pStyle w:val="Bodytexttax1"/>
      </w:pPr>
      <w:r>
        <w:t xml:space="preserve">The </w:t>
      </w:r>
      <w:r w:rsidR="00FF3F02">
        <w:t>2014 A</w:t>
      </w:r>
      <w:r>
        <w:t>ppeal related to the conclusion in th</w:t>
      </w:r>
      <w:r w:rsidR="00FF3F02">
        <w:t>e partial closure</w:t>
      </w:r>
      <w:r>
        <w:t xml:space="preserve"> notice that Gallaher was liable to pay corporation tax on gains arising on the transfer of shares in </w:t>
      </w:r>
      <w:r w:rsidR="007E7AC4">
        <w:t>its subsidiary</w:t>
      </w:r>
      <w:r w:rsidR="007E7AC4" w:rsidRPr="007E7AC4">
        <w:t xml:space="preserve"> </w:t>
      </w:r>
      <w:r w:rsidR="007E7AC4">
        <w:t xml:space="preserve">company, </w:t>
      </w:r>
      <w:r>
        <w:t>Galleon Insurance Company Limited (</w:t>
      </w:r>
      <w:r w:rsidR="00185948">
        <w:t>“</w:t>
      </w:r>
      <w:r>
        <w:t>Galleon</w:t>
      </w:r>
      <w:r w:rsidR="00185948">
        <w:t>”</w:t>
      </w:r>
      <w:r>
        <w:t>)</w:t>
      </w:r>
      <w:r w:rsidR="007E7AC4">
        <w:t xml:space="preserve">, </w:t>
      </w:r>
      <w:r>
        <w:t>to JT International Holding BV (</w:t>
      </w:r>
      <w:r w:rsidR="00185948">
        <w:t>“</w:t>
      </w:r>
      <w:r>
        <w:t>JTIH</w:t>
      </w:r>
      <w:r w:rsidR="00185948">
        <w:t>”</w:t>
      </w:r>
      <w:r>
        <w:t>).  JTI</w:t>
      </w:r>
      <w:r w:rsidR="001336E6">
        <w:t>H</w:t>
      </w:r>
      <w:r>
        <w:t xml:space="preserve"> was at the time, and remains, the indirect parent company of Gallaher</w:t>
      </w:r>
      <w:r w:rsidR="00DC3199">
        <w:t xml:space="preserve"> and </w:t>
      </w:r>
      <w:r w:rsidR="001336E6">
        <w:t xml:space="preserve">was, and remains, resident in the Netherlands for tax purposes.  </w:t>
      </w:r>
      <w:r w:rsidR="005B3EF6">
        <w:t xml:space="preserve">We have referred to </w:t>
      </w:r>
      <w:r w:rsidR="005B0EF5">
        <w:t>the transfer of shares in Galleon by Gallaher to JTIH</w:t>
      </w:r>
      <w:r w:rsidR="005B3EF6">
        <w:t xml:space="preserve"> as the </w:t>
      </w:r>
      <w:r w:rsidR="00185948">
        <w:t>“</w:t>
      </w:r>
      <w:r w:rsidR="005B3EF6">
        <w:t>2014 Disposal</w:t>
      </w:r>
      <w:r w:rsidR="00185948">
        <w:t>”</w:t>
      </w:r>
      <w:r w:rsidR="005B0EF5">
        <w:t xml:space="preserve"> in this decision notice</w:t>
      </w:r>
      <w:r w:rsidR="005B3EF6">
        <w:t>.</w:t>
      </w:r>
    </w:p>
    <w:p w14:paraId="2F8E7DA0" w14:textId="5366FDAE" w:rsidR="00DE2A5E" w:rsidRDefault="005B0EF5" w:rsidP="00BE55B6">
      <w:pPr>
        <w:pStyle w:val="Bodytexttax1"/>
      </w:pPr>
      <w:r>
        <w:t>Before the FTT, Gallaher asserted</w:t>
      </w:r>
      <w:r w:rsidR="001336E6">
        <w:t>:</w:t>
      </w:r>
      <w:r>
        <w:t xml:space="preserve"> that the imposition of an immediate tax charge on gains arising </w:t>
      </w:r>
      <w:r w:rsidR="001336E6">
        <w:t>from</w:t>
      </w:r>
      <w:r>
        <w:t xml:space="preserve"> each of the 2011 Disposal and the 2014 Disposal was contrary to European Union (</w:t>
      </w:r>
      <w:r w:rsidR="00185948">
        <w:t>“</w:t>
      </w:r>
      <w:r>
        <w:t>EU</w:t>
      </w:r>
      <w:r w:rsidR="00185948">
        <w:t>”</w:t>
      </w:r>
      <w:r>
        <w:t>) law</w:t>
      </w:r>
      <w:r w:rsidR="001336E6">
        <w:t>;</w:t>
      </w:r>
      <w:r>
        <w:t xml:space="preserve"> and that </w:t>
      </w:r>
      <w:r w:rsidR="005B3EF6">
        <w:t>the provisions of UK law</w:t>
      </w:r>
      <w:r w:rsidR="007E7AC4">
        <w:t>,</w:t>
      </w:r>
      <w:r w:rsidR="005B3EF6">
        <w:t xml:space="preserve"> which govern the taxation of transfers of assets between companies</w:t>
      </w:r>
      <w:r w:rsidR="001336E6">
        <w:t>,</w:t>
      </w:r>
      <w:r w:rsidR="005B3EF6">
        <w:t xml:space="preserve"> which are members of the same group</w:t>
      </w:r>
      <w:r w:rsidR="0050311C">
        <w:t>,</w:t>
      </w:r>
      <w:r w:rsidR="005B3EF6">
        <w:t xml:space="preserve"> </w:t>
      </w:r>
      <w:r w:rsidR="007E7AC4">
        <w:t>should be applied to the 2011 Disposal and the 2014 Disposal</w:t>
      </w:r>
      <w:r w:rsidR="001336E6">
        <w:t xml:space="preserve">, in a manner consistent with EU law, to defer </w:t>
      </w:r>
      <w:r w:rsidR="00DE2A5E">
        <w:t>any tax charge which would otherwise arise on them</w:t>
      </w:r>
      <w:r w:rsidR="005B3EF6">
        <w:t xml:space="preserve">.  </w:t>
      </w:r>
    </w:p>
    <w:p w14:paraId="68131B85" w14:textId="58F472B5" w:rsidR="00DE2A5E" w:rsidRDefault="007E7AC4" w:rsidP="00BE55B6">
      <w:pPr>
        <w:pStyle w:val="Bodytexttax1"/>
      </w:pPr>
      <w:r>
        <w:t xml:space="preserve">We have set out </w:t>
      </w:r>
      <w:r w:rsidR="001336E6">
        <w:t xml:space="preserve">a </w:t>
      </w:r>
      <w:r>
        <w:t xml:space="preserve">summary of the FTT decision at </w:t>
      </w:r>
      <w:r w:rsidRPr="00AF4E68">
        <w:t>[</w:t>
      </w:r>
      <w:r w:rsidR="00807C85" w:rsidRPr="00AF4E68">
        <w:t>28</w:t>
      </w:r>
      <w:r w:rsidRPr="00AF4E68">
        <w:t>]</w:t>
      </w:r>
      <w:r w:rsidR="00807C85">
        <w:t>-[</w:t>
      </w:r>
      <w:r w:rsidR="00807C85" w:rsidRPr="00AF4E68">
        <w:t>32</w:t>
      </w:r>
      <w:r w:rsidR="00807C85">
        <w:t>]</w:t>
      </w:r>
      <w:r>
        <w:t xml:space="preserve"> below, but, in </w:t>
      </w:r>
      <w:r w:rsidR="001336E6">
        <w:t>short</w:t>
      </w:r>
      <w:r>
        <w:t xml:space="preserve">, </w:t>
      </w:r>
      <w:r w:rsidR="005B3EF6">
        <w:t>the FTT decided</w:t>
      </w:r>
      <w:r w:rsidR="00DE2A5E">
        <w:t xml:space="preserve">: </w:t>
      </w:r>
    </w:p>
    <w:p w14:paraId="16F72895" w14:textId="7363B02A" w:rsidR="00DE2A5E" w:rsidRDefault="00A82A1C" w:rsidP="00A82A1C">
      <w:pPr>
        <w:pStyle w:val="Bodytexttax2"/>
      </w:pPr>
      <w:r>
        <w:t xml:space="preserve">that </w:t>
      </w:r>
      <w:r w:rsidR="00DE2A5E">
        <w:t xml:space="preserve">the imposition of an immediate tax charge in relation to the 2011 Disposal was not contrary to EU law; </w:t>
      </w:r>
      <w:r w:rsidR="005B3EF6">
        <w:t xml:space="preserve"> </w:t>
      </w:r>
    </w:p>
    <w:p w14:paraId="1856D01D" w14:textId="0CECDE0D" w:rsidR="007B1A9C" w:rsidRDefault="00DE2A5E" w:rsidP="00A82A1C">
      <w:pPr>
        <w:pStyle w:val="Bodytexttax2"/>
      </w:pPr>
      <w:r>
        <w:t>that the imposition of an immediate tax charge in relation to the 2014 Disposal was contrary to EU law</w:t>
      </w:r>
      <w:r w:rsidR="00A82A1C">
        <w:t>,</w:t>
      </w:r>
      <w:r>
        <w:t xml:space="preserve"> </w:t>
      </w:r>
      <w:r w:rsidR="00A82A1C">
        <w:t>but</w:t>
      </w:r>
      <w:r>
        <w:t xml:space="preserve"> that </w:t>
      </w:r>
      <w:r w:rsidR="007E7AC4">
        <w:t xml:space="preserve">the </w:t>
      </w:r>
      <w:r w:rsidR="0050311C">
        <w:t>relevant provision</w:t>
      </w:r>
      <w:r w:rsidR="009F4B4A">
        <w:t>s</w:t>
      </w:r>
      <w:r w:rsidR="0050311C">
        <w:t xml:space="preserve"> of UK domestic legislation </w:t>
      </w:r>
      <w:r w:rsidR="00A82A1C">
        <w:t xml:space="preserve">could not be interpreted in a manner which was consistent with EU law and that the FTT had therefore to disapply the </w:t>
      </w:r>
      <w:r w:rsidR="00DC3199">
        <w:t xml:space="preserve">legislation in a manner which removed the </w:t>
      </w:r>
      <w:r w:rsidR="00A82A1C">
        <w:t>tax charge entirely.</w:t>
      </w:r>
    </w:p>
    <w:p w14:paraId="08A581CB" w14:textId="4EFAC73E" w:rsidR="00C729F5" w:rsidRDefault="00A82A1C" w:rsidP="00BE55B6">
      <w:pPr>
        <w:pStyle w:val="Bodytexttax1"/>
      </w:pPr>
      <w:r>
        <w:lastRenderedPageBreak/>
        <w:t xml:space="preserve">With the consent of the FTT, </w:t>
      </w:r>
      <w:r w:rsidR="00DC4E39">
        <w:t xml:space="preserve">Gallaher </w:t>
      </w:r>
      <w:r>
        <w:t xml:space="preserve">appeals to this Tribunal </w:t>
      </w:r>
      <w:r w:rsidR="00C729F5">
        <w:t xml:space="preserve">against </w:t>
      </w:r>
      <w:r>
        <w:t xml:space="preserve">the FTT’s decision </w:t>
      </w:r>
      <w:r w:rsidR="00C729F5">
        <w:t>in relation to the 2011 Disposal (reference UT/20</w:t>
      </w:r>
      <w:r w:rsidR="000C032A">
        <w:t>19</w:t>
      </w:r>
      <w:r w:rsidR="00C729F5">
        <w:t xml:space="preserve">/0101) and HMRC appeals to this Tribunal against the FTT’s decision in relation to the 2014 </w:t>
      </w:r>
      <w:r w:rsidR="00EC2D7E">
        <w:t xml:space="preserve">Disposal </w:t>
      </w:r>
      <w:r w:rsidR="00DC4E39">
        <w:t>(reference UT/20</w:t>
      </w:r>
      <w:r w:rsidR="000C032A">
        <w:t>19</w:t>
      </w:r>
      <w:r w:rsidR="00DC4E39">
        <w:t>/0089)</w:t>
      </w:r>
      <w:r w:rsidR="00337578">
        <w:t>.</w:t>
      </w:r>
    </w:p>
    <w:p w14:paraId="556CDF0C" w14:textId="7085D415" w:rsidR="0010459F" w:rsidRDefault="00C729F5" w:rsidP="00C729F5">
      <w:pPr>
        <w:pStyle w:val="Heading1"/>
      </w:pPr>
      <w:r>
        <w:t xml:space="preserve">The relevant </w:t>
      </w:r>
      <w:r w:rsidR="00EC2D7E">
        <w:t>legislation</w:t>
      </w:r>
    </w:p>
    <w:p w14:paraId="1B11CBBD" w14:textId="17E5DC3D" w:rsidR="00A63CD0" w:rsidRDefault="00EC2D7E" w:rsidP="00C729F5">
      <w:pPr>
        <w:pStyle w:val="Bodytexttax1"/>
      </w:pPr>
      <w:r>
        <w:t>It will assist our explanation if we first set out the provisions of UK tax legislation, which are relevant in this case</w:t>
      </w:r>
      <w:r w:rsidR="00FB7F61">
        <w:t>, and the provisions of EU law which Gal</w:t>
      </w:r>
      <w:r w:rsidR="00A63CD0">
        <w:t>laher</w:t>
      </w:r>
      <w:r w:rsidR="00FB7F61">
        <w:t xml:space="preserve"> asserts </w:t>
      </w:r>
      <w:r w:rsidR="00A63CD0">
        <w:t>those provisions of UK tax legislation contravene.</w:t>
      </w:r>
    </w:p>
    <w:p w14:paraId="59AA25A2" w14:textId="366B9185" w:rsidR="00C729F5" w:rsidRDefault="00A63CD0" w:rsidP="00A63CD0">
      <w:pPr>
        <w:pStyle w:val="Heading2"/>
      </w:pPr>
      <w:r>
        <w:t>Relevant provisions of UK tax law</w:t>
      </w:r>
      <w:r w:rsidR="00EC2D7E">
        <w:t xml:space="preserve">   </w:t>
      </w:r>
    </w:p>
    <w:p w14:paraId="292B659D" w14:textId="1BC56DEB" w:rsidR="0050311C" w:rsidRDefault="0050311C" w:rsidP="00A32A27">
      <w:pPr>
        <w:pStyle w:val="Bodytexttax1"/>
      </w:pPr>
      <w:r>
        <w:t xml:space="preserve">The relevant provisions of UK domestic legislation which apply to transfers of </w:t>
      </w:r>
      <w:r w:rsidR="00DC3199">
        <w:t xml:space="preserve">capital </w:t>
      </w:r>
      <w:r>
        <w:t>assets between t</w:t>
      </w:r>
      <w:r w:rsidR="0094122F">
        <w:t>wo</w:t>
      </w:r>
      <w:r>
        <w:t xml:space="preserve"> companies</w:t>
      </w:r>
      <w:r w:rsidR="00DC3199">
        <w:t>,</w:t>
      </w:r>
      <w:r>
        <w:t xml:space="preserve"> which are members of the same group</w:t>
      </w:r>
      <w:r w:rsidR="00DC3199">
        <w:t>,</w:t>
      </w:r>
      <w:r>
        <w:t xml:space="preserve"> are found in s171 of the Taxation of Chargeable Gains Act 1992 (</w:t>
      </w:r>
      <w:r w:rsidR="00185948">
        <w:t>“</w:t>
      </w:r>
      <w:r>
        <w:t>TCGA</w:t>
      </w:r>
      <w:r w:rsidR="00185948">
        <w:t>”</w:t>
      </w:r>
      <w:r>
        <w:t>)</w:t>
      </w:r>
      <w:r w:rsidR="00DC3199">
        <w:t>,</w:t>
      </w:r>
      <w:r>
        <w:t xml:space="preserve"> and </w:t>
      </w:r>
      <w:r w:rsidR="00DC3199">
        <w:t xml:space="preserve">the equivalent provisions, which apply to the intragroup transfer of certain intangible assets, are found in </w:t>
      </w:r>
      <w:r>
        <w:t>s775 and s776 of the Corporation Tax Act 2009 (</w:t>
      </w:r>
      <w:r w:rsidR="00185948">
        <w:t>“</w:t>
      </w:r>
      <w:r>
        <w:t>CTA 2009</w:t>
      </w:r>
      <w:r w:rsidR="00185948">
        <w:t>”</w:t>
      </w:r>
      <w:r>
        <w:t xml:space="preserve">).  In its decision, the FTT referred to s171 TCGA, and s775 and s776 CTA 2009 together as the </w:t>
      </w:r>
      <w:r w:rsidR="00185948">
        <w:t>“</w:t>
      </w:r>
      <w:r>
        <w:t>Group Transfer Rules</w:t>
      </w:r>
      <w:r w:rsidR="00185948">
        <w:t>”</w:t>
      </w:r>
      <w:r>
        <w:t xml:space="preserve"> and we have adopted the same terminology in this decision notice. </w:t>
      </w:r>
    </w:p>
    <w:p w14:paraId="5E540E00" w14:textId="18D6ACFF" w:rsidR="0050311C" w:rsidRDefault="0050311C" w:rsidP="00C729F5">
      <w:pPr>
        <w:pStyle w:val="Bodytexttax1"/>
      </w:pPr>
      <w:r>
        <w:t xml:space="preserve">Section 171 TCGA applies </w:t>
      </w:r>
      <w:r w:rsidR="009A5EEA">
        <w:t xml:space="preserve">to the transfer of chargeable assets between group companies for the purposes of corporation tax on chargeable gains.  At all material times, </w:t>
      </w:r>
      <w:r w:rsidR="009F4B4A">
        <w:t xml:space="preserve">and so far as relevant, </w:t>
      </w:r>
      <w:r w:rsidR="009A5EEA">
        <w:t>it was in the following form:</w:t>
      </w:r>
    </w:p>
    <w:p w14:paraId="5173CC68" w14:textId="0DD87935" w:rsidR="009F4B4A" w:rsidRPr="009F4B4A" w:rsidRDefault="009F4B4A" w:rsidP="009F4B4A">
      <w:pPr>
        <w:ind w:left="450"/>
        <w:rPr>
          <w:b/>
          <w:bCs/>
          <w:sz w:val="22"/>
          <w:szCs w:val="22"/>
        </w:rPr>
      </w:pPr>
      <w:r w:rsidRPr="009F4B4A">
        <w:rPr>
          <w:b/>
          <w:bCs/>
          <w:sz w:val="22"/>
          <w:szCs w:val="22"/>
        </w:rPr>
        <w:t>171 Transfers within a group: general provisions</w:t>
      </w:r>
    </w:p>
    <w:p w14:paraId="62758B2B" w14:textId="77777777" w:rsidR="009F4B4A" w:rsidRPr="009F4B4A" w:rsidRDefault="009F4B4A" w:rsidP="009F4B4A">
      <w:pPr>
        <w:ind w:left="450"/>
        <w:rPr>
          <w:sz w:val="22"/>
          <w:szCs w:val="22"/>
        </w:rPr>
      </w:pPr>
      <w:r w:rsidRPr="009F4B4A">
        <w:rPr>
          <w:sz w:val="22"/>
          <w:szCs w:val="22"/>
        </w:rPr>
        <w:t>(1)  Where—</w:t>
      </w:r>
    </w:p>
    <w:p w14:paraId="5268E535" w14:textId="019888F9" w:rsidR="009F4B4A" w:rsidRPr="009F4B4A" w:rsidRDefault="009F4B4A" w:rsidP="009F4B4A">
      <w:pPr>
        <w:ind w:left="450"/>
        <w:rPr>
          <w:sz w:val="22"/>
          <w:szCs w:val="22"/>
        </w:rPr>
      </w:pPr>
      <w:r w:rsidRPr="009F4B4A">
        <w:rPr>
          <w:sz w:val="22"/>
          <w:szCs w:val="22"/>
        </w:rPr>
        <w:t>(a)  a company (</w:t>
      </w:r>
      <w:r w:rsidR="00185948">
        <w:rPr>
          <w:sz w:val="22"/>
          <w:szCs w:val="22"/>
        </w:rPr>
        <w:t>“</w:t>
      </w:r>
      <w:r w:rsidRPr="009F4B4A">
        <w:rPr>
          <w:sz w:val="22"/>
          <w:szCs w:val="22"/>
        </w:rPr>
        <w:t>company A</w:t>
      </w:r>
      <w:r w:rsidR="00185948">
        <w:rPr>
          <w:sz w:val="22"/>
          <w:szCs w:val="22"/>
        </w:rPr>
        <w:t>”</w:t>
      </w:r>
      <w:r w:rsidRPr="009F4B4A">
        <w:rPr>
          <w:sz w:val="22"/>
          <w:szCs w:val="22"/>
        </w:rPr>
        <w:t>) disposes of an asset to another company (</w:t>
      </w:r>
      <w:r w:rsidR="00185948">
        <w:rPr>
          <w:sz w:val="22"/>
          <w:szCs w:val="22"/>
        </w:rPr>
        <w:t>“</w:t>
      </w:r>
      <w:r w:rsidRPr="009F4B4A">
        <w:rPr>
          <w:sz w:val="22"/>
          <w:szCs w:val="22"/>
        </w:rPr>
        <w:t>company B</w:t>
      </w:r>
      <w:r w:rsidR="00185948">
        <w:rPr>
          <w:sz w:val="22"/>
          <w:szCs w:val="22"/>
        </w:rPr>
        <w:t>”</w:t>
      </w:r>
      <w:r w:rsidRPr="009F4B4A">
        <w:rPr>
          <w:sz w:val="22"/>
          <w:szCs w:val="22"/>
        </w:rPr>
        <w:t>) at a time when both companies are members of the same group, and</w:t>
      </w:r>
    </w:p>
    <w:p w14:paraId="1D2E145F" w14:textId="77777777" w:rsidR="009F4B4A" w:rsidRPr="009F4B4A" w:rsidRDefault="009F4B4A" w:rsidP="009F4B4A">
      <w:pPr>
        <w:ind w:left="450"/>
        <w:rPr>
          <w:sz w:val="22"/>
          <w:szCs w:val="22"/>
        </w:rPr>
      </w:pPr>
      <w:r w:rsidRPr="009F4B4A">
        <w:rPr>
          <w:sz w:val="22"/>
          <w:szCs w:val="22"/>
        </w:rPr>
        <w:t>(b)  the conditions in subsection (1A) below are met,</w:t>
      </w:r>
    </w:p>
    <w:p w14:paraId="0BD04C7E" w14:textId="35A6637E" w:rsidR="009F4B4A" w:rsidRPr="009F4B4A" w:rsidRDefault="009F4B4A" w:rsidP="009F4B4A">
      <w:pPr>
        <w:ind w:left="450"/>
        <w:rPr>
          <w:sz w:val="22"/>
          <w:szCs w:val="22"/>
        </w:rPr>
      </w:pPr>
      <w:r w:rsidRPr="009F4B4A">
        <w:rPr>
          <w:sz w:val="22"/>
          <w:szCs w:val="22"/>
        </w:rPr>
        <w:t>company A and company B are treated for the purposes of corporation tax on chargeable gains as if the asset were acquired by company B for a consideration of such amount as would secure that neither a gain nor a loss would accrue to company A on the disposal.</w:t>
      </w:r>
    </w:p>
    <w:p w14:paraId="5113384B" w14:textId="0016A305" w:rsidR="009F4B4A" w:rsidRPr="009F4B4A" w:rsidRDefault="009F4B4A" w:rsidP="009F4B4A">
      <w:pPr>
        <w:ind w:left="450"/>
        <w:rPr>
          <w:sz w:val="22"/>
          <w:szCs w:val="22"/>
        </w:rPr>
      </w:pPr>
      <w:r w:rsidRPr="009F4B4A">
        <w:rPr>
          <w:sz w:val="22"/>
          <w:szCs w:val="22"/>
        </w:rPr>
        <w:t>(1A) The conditions referred to in subsection (1)(b) above are—</w:t>
      </w:r>
    </w:p>
    <w:p w14:paraId="696369C3" w14:textId="77777777" w:rsidR="009F4B4A" w:rsidRPr="009F4B4A" w:rsidRDefault="009F4B4A" w:rsidP="009F4B4A">
      <w:pPr>
        <w:ind w:left="450"/>
        <w:rPr>
          <w:sz w:val="22"/>
          <w:szCs w:val="22"/>
        </w:rPr>
      </w:pPr>
      <w:r w:rsidRPr="009F4B4A">
        <w:rPr>
          <w:sz w:val="22"/>
          <w:szCs w:val="22"/>
        </w:rPr>
        <w:t>(a)  that company A is resident in the United Kingdom at the time of the disposal, or the asset is a chargeable asset in relation to that company immediately before that time, and</w:t>
      </w:r>
    </w:p>
    <w:p w14:paraId="25DD59D9" w14:textId="77777777" w:rsidR="009F4B4A" w:rsidRPr="009F4B4A" w:rsidRDefault="009F4B4A" w:rsidP="009F4B4A">
      <w:pPr>
        <w:ind w:left="450"/>
        <w:rPr>
          <w:sz w:val="22"/>
          <w:szCs w:val="22"/>
        </w:rPr>
      </w:pPr>
      <w:r w:rsidRPr="009F4B4A">
        <w:rPr>
          <w:sz w:val="22"/>
          <w:szCs w:val="22"/>
        </w:rPr>
        <w:t>(b)  that company B is resident in the United Kingdom at the time of the disposal, or the asset is a chargeable asset in relation to that company immediately after that time.</w:t>
      </w:r>
    </w:p>
    <w:p w14:paraId="40DF58A2" w14:textId="51DB57CC" w:rsidR="009F4B4A" w:rsidRPr="009F4B4A" w:rsidRDefault="009F4B4A" w:rsidP="0094122F">
      <w:pPr>
        <w:ind w:left="450"/>
        <w:rPr>
          <w:sz w:val="22"/>
          <w:szCs w:val="22"/>
        </w:rPr>
      </w:pPr>
      <w:r w:rsidRPr="009F4B4A">
        <w:rPr>
          <w:sz w:val="22"/>
          <w:szCs w:val="22"/>
        </w:rPr>
        <w:t xml:space="preserve">For this purpose an asset is a </w:t>
      </w:r>
      <w:r w:rsidR="00185948">
        <w:rPr>
          <w:sz w:val="22"/>
          <w:szCs w:val="22"/>
        </w:rPr>
        <w:t>“</w:t>
      </w:r>
      <w:r w:rsidRPr="009F4B4A">
        <w:rPr>
          <w:sz w:val="22"/>
          <w:szCs w:val="22"/>
        </w:rPr>
        <w:t>chargeable asset</w:t>
      </w:r>
      <w:r w:rsidR="00185948">
        <w:rPr>
          <w:sz w:val="22"/>
          <w:szCs w:val="22"/>
        </w:rPr>
        <w:t>”</w:t>
      </w:r>
      <w:r w:rsidRPr="009F4B4A">
        <w:rPr>
          <w:sz w:val="22"/>
          <w:szCs w:val="22"/>
        </w:rPr>
        <w:t xml:space="preserve">  in relation to a company at any time if, were the asset to be disposed of by the company at that time, any gain accruing to the company would be a chargeable gain and would by virtue of section 10B form part of its chargeable profits for corporation tax purposes.</w:t>
      </w:r>
    </w:p>
    <w:p w14:paraId="7BF828BF" w14:textId="77777777" w:rsidR="0094122F" w:rsidRDefault="009F4B4A" w:rsidP="009F4B4A">
      <w:pPr>
        <w:ind w:left="450"/>
        <w:rPr>
          <w:sz w:val="22"/>
          <w:szCs w:val="22"/>
        </w:rPr>
      </w:pPr>
      <w:r w:rsidRPr="009F4B4A">
        <w:rPr>
          <w:sz w:val="22"/>
          <w:szCs w:val="22"/>
        </w:rPr>
        <w:lastRenderedPageBreak/>
        <w:t xml:space="preserve">(2)  </w:t>
      </w:r>
      <w:r w:rsidR="0094122F">
        <w:rPr>
          <w:sz w:val="22"/>
          <w:szCs w:val="22"/>
        </w:rPr>
        <w:t>…</w:t>
      </w:r>
    </w:p>
    <w:p w14:paraId="476148E5" w14:textId="5D7FC6BF" w:rsidR="00283790" w:rsidRDefault="00283790" w:rsidP="00BC3CDF">
      <w:pPr>
        <w:pStyle w:val="Bodytexttax1"/>
      </w:pPr>
      <w:r>
        <w:t>As the FTT noted in its decision (FTT [</w:t>
      </w:r>
      <w:r w:rsidRPr="00DD2F7F">
        <w:t>30</w:t>
      </w:r>
      <w:r>
        <w:t>]), where s171 applies</w:t>
      </w:r>
      <w:r w:rsidR="00050239">
        <w:t xml:space="preserve">, no charge to corporation tax on chargeable gains arises when one company transfers assets to another company which is a member of the same group.  </w:t>
      </w:r>
      <w:r>
        <w:t xml:space="preserve"> </w:t>
      </w:r>
      <w:r w:rsidR="00050239">
        <w:t xml:space="preserve">This is because the disposal is treated as taking place for such consideration as gives rise to neither a gain nor a loss.  However, </w:t>
      </w:r>
      <w:r w:rsidR="00DC3199">
        <w:t xml:space="preserve">in some circumstances, </w:t>
      </w:r>
      <w:r w:rsidR="00050239">
        <w:t>a tax charge may arise in the future if the transferee company disposes of the assets or if the transferee company ceases to be a member of the group within six years of the transfer of the assets to it.</w:t>
      </w:r>
    </w:p>
    <w:p w14:paraId="03649043" w14:textId="67A4C610" w:rsidR="00050239" w:rsidRDefault="00050239" w:rsidP="00BC3CDF">
      <w:pPr>
        <w:pStyle w:val="Bodytexttax1"/>
      </w:pPr>
      <w:r>
        <w:t xml:space="preserve">The definition of a </w:t>
      </w:r>
      <w:r w:rsidR="00185948">
        <w:t>“</w:t>
      </w:r>
      <w:r>
        <w:t>group</w:t>
      </w:r>
      <w:r w:rsidR="00185948">
        <w:t>”</w:t>
      </w:r>
      <w:r>
        <w:t xml:space="preserve"> for these purposes is contained in s170 TCGA.   </w:t>
      </w:r>
      <w:r w:rsidR="007D7860">
        <w:t xml:space="preserve">However, it is common ground between the parties that </w:t>
      </w:r>
      <w:r w:rsidR="00CA2D8E">
        <w:t xml:space="preserve">each of JTIH, JTISA and Gallaher </w:t>
      </w:r>
      <w:r w:rsidR="007D7860">
        <w:t>were members of the same</w:t>
      </w:r>
      <w:r w:rsidR="00CA2D8E">
        <w:t xml:space="preserve"> group, of which Japan Tobacco Inc. (</w:t>
      </w:r>
      <w:r w:rsidR="00185948">
        <w:t>“</w:t>
      </w:r>
      <w:r w:rsidR="00CA2D8E">
        <w:t>JT</w:t>
      </w:r>
      <w:r w:rsidR="00185948">
        <w:t>”</w:t>
      </w:r>
      <w:r w:rsidR="00CA2D8E">
        <w:t>) was the parent company, or</w:t>
      </w:r>
      <w:r w:rsidR="00D03F1F">
        <w:t>, as is referred to in s170 TCGA,</w:t>
      </w:r>
      <w:r w:rsidR="00CA2D8E">
        <w:t xml:space="preserve"> the </w:t>
      </w:r>
      <w:r w:rsidR="00185948">
        <w:t>“</w:t>
      </w:r>
      <w:r w:rsidR="00CA2D8E">
        <w:t>principal company</w:t>
      </w:r>
      <w:r w:rsidR="00185948">
        <w:t>”</w:t>
      </w:r>
      <w:r w:rsidR="00CA2D8E">
        <w:t xml:space="preserve"> </w:t>
      </w:r>
      <w:r w:rsidR="00D03F1F">
        <w:t xml:space="preserve">of the group </w:t>
      </w:r>
      <w:r w:rsidR="00CA2D8E">
        <w:t>for these purposes</w:t>
      </w:r>
      <w:r w:rsidR="00DE43A8">
        <w:t xml:space="preserve"> at all material times</w:t>
      </w:r>
      <w:r w:rsidR="00CA2D8E">
        <w:t>.</w:t>
      </w:r>
      <w:r w:rsidR="007D7860">
        <w:t xml:space="preserve"> </w:t>
      </w:r>
      <w:r>
        <w:t xml:space="preserve"> </w:t>
      </w:r>
    </w:p>
    <w:p w14:paraId="7741F8E2" w14:textId="43D6046F" w:rsidR="00BC3CDF" w:rsidRDefault="00BC3CDF" w:rsidP="00BC3CDF">
      <w:pPr>
        <w:pStyle w:val="Bodytexttax1"/>
      </w:pPr>
      <w:r>
        <w:t>Section 775 CTA 2009 and s776 CTA 2009 apply to the transfer of certain intangible fixed assets between group companies for corporation tax purposes.  At all material times, and so far as relevant, they were in the following form:</w:t>
      </w:r>
    </w:p>
    <w:p w14:paraId="1C1DC866" w14:textId="77777777" w:rsidR="00BC3CDF" w:rsidRPr="00BC3CDF" w:rsidRDefault="00BC3CDF" w:rsidP="00BC3CDF">
      <w:pPr>
        <w:ind w:left="450"/>
        <w:rPr>
          <w:b/>
          <w:bCs/>
          <w:sz w:val="22"/>
          <w:szCs w:val="22"/>
        </w:rPr>
      </w:pPr>
      <w:r w:rsidRPr="00BC3CDF">
        <w:rPr>
          <w:b/>
          <w:bCs/>
          <w:sz w:val="22"/>
          <w:szCs w:val="22"/>
        </w:rPr>
        <w:t>775 Transfers within a group</w:t>
      </w:r>
    </w:p>
    <w:p w14:paraId="3D9DB338" w14:textId="738E2367" w:rsidR="00BC3CDF" w:rsidRPr="00BC3CDF" w:rsidRDefault="00BC3CDF" w:rsidP="00BC3CDF">
      <w:pPr>
        <w:ind w:left="450"/>
        <w:rPr>
          <w:sz w:val="22"/>
          <w:szCs w:val="22"/>
        </w:rPr>
      </w:pPr>
      <w:r w:rsidRPr="00BC3CDF">
        <w:rPr>
          <w:sz w:val="22"/>
          <w:szCs w:val="22"/>
        </w:rPr>
        <w:t>(1)  A transfer of an intangible fixed asset from one company (</w:t>
      </w:r>
      <w:r w:rsidR="00185948">
        <w:rPr>
          <w:sz w:val="22"/>
          <w:szCs w:val="22"/>
        </w:rPr>
        <w:t>“</w:t>
      </w:r>
      <w:r w:rsidRPr="00BC3CDF">
        <w:rPr>
          <w:sz w:val="22"/>
          <w:szCs w:val="22"/>
        </w:rPr>
        <w:t>the transferor</w:t>
      </w:r>
      <w:r w:rsidR="00185948">
        <w:rPr>
          <w:sz w:val="22"/>
          <w:szCs w:val="22"/>
        </w:rPr>
        <w:t>”</w:t>
      </w:r>
      <w:r w:rsidRPr="00BC3CDF">
        <w:rPr>
          <w:sz w:val="22"/>
          <w:szCs w:val="22"/>
        </w:rPr>
        <w:t>) to another company (</w:t>
      </w:r>
      <w:r w:rsidR="00185948">
        <w:rPr>
          <w:sz w:val="22"/>
          <w:szCs w:val="22"/>
        </w:rPr>
        <w:t>“</w:t>
      </w:r>
      <w:r w:rsidRPr="00BC3CDF">
        <w:rPr>
          <w:sz w:val="22"/>
          <w:szCs w:val="22"/>
        </w:rPr>
        <w:t>the transferee</w:t>
      </w:r>
      <w:r w:rsidR="00185948">
        <w:rPr>
          <w:sz w:val="22"/>
          <w:szCs w:val="22"/>
        </w:rPr>
        <w:t>”</w:t>
      </w:r>
      <w:r w:rsidRPr="00BC3CDF">
        <w:rPr>
          <w:sz w:val="22"/>
          <w:szCs w:val="22"/>
        </w:rPr>
        <w:t>) is tax-neutral for the purposes of this Part if—</w:t>
      </w:r>
    </w:p>
    <w:p w14:paraId="65F12DBA" w14:textId="77777777" w:rsidR="00BC3CDF" w:rsidRPr="00BC3CDF" w:rsidRDefault="00BC3CDF" w:rsidP="00BC3CDF">
      <w:pPr>
        <w:ind w:left="450"/>
        <w:rPr>
          <w:sz w:val="22"/>
          <w:szCs w:val="22"/>
        </w:rPr>
      </w:pPr>
      <w:r w:rsidRPr="00BC3CDF">
        <w:rPr>
          <w:sz w:val="22"/>
          <w:szCs w:val="22"/>
        </w:rPr>
        <w:t>(a)  at the time of the transfer both companies are members of the same group,</w:t>
      </w:r>
    </w:p>
    <w:p w14:paraId="70743639" w14:textId="77777777" w:rsidR="00BC3CDF" w:rsidRPr="00BC3CDF" w:rsidRDefault="00BC3CDF" w:rsidP="00BC3CDF">
      <w:pPr>
        <w:ind w:left="450"/>
        <w:rPr>
          <w:sz w:val="22"/>
          <w:szCs w:val="22"/>
        </w:rPr>
      </w:pPr>
      <w:r w:rsidRPr="00BC3CDF">
        <w:rPr>
          <w:sz w:val="22"/>
          <w:szCs w:val="22"/>
        </w:rPr>
        <w:t>(b)  immediately before the transfer the asset is a chargeable intangible asset in relation to the transferor, and</w:t>
      </w:r>
    </w:p>
    <w:p w14:paraId="35511A00" w14:textId="77777777" w:rsidR="00BC3CDF" w:rsidRPr="00BC3CDF" w:rsidRDefault="00BC3CDF" w:rsidP="00BC3CDF">
      <w:pPr>
        <w:ind w:left="450"/>
        <w:rPr>
          <w:sz w:val="22"/>
          <w:szCs w:val="22"/>
        </w:rPr>
      </w:pPr>
      <w:r w:rsidRPr="00BC3CDF">
        <w:rPr>
          <w:sz w:val="22"/>
          <w:szCs w:val="22"/>
        </w:rPr>
        <w:t>(c)  immediately after the transfer the asset is a chargeable intangible asset in relation to the transferee.</w:t>
      </w:r>
    </w:p>
    <w:p w14:paraId="57D94D5B" w14:textId="1F9BC9C3" w:rsidR="009F4B4A" w:rsidRDefault="00BC3CDF" w:rsidP="00BC3CDF">
      <w:pPr>
        <w:ind w:left="450"/>
        <w:rPr>
          <w:sz w:val="22"/>
          <w:szCs w:val="22"/>
        </w:rPr>
      </w:pPr>
      <w:r w:rsidRPr="00BC3CDF">
        <w:rPr>
          <w:sz w:val="22"/>
          <w:szCs w:val="22"/>
        </w:rPr>
        <w:t>(2)  For the consequences of a transfer being tax-neutral for the purposes of this Part, see section 776.</w:t>
      </w:r>
    </w:p>
    <w:p w14:paraId="3697F5F6" w14:textId="322342F0" w:rsidR="00BC3CDF" w:rsidRDefault="00BC3CDF" w:rsidP="00BC3CDF">
      <w:pPr>
        <w:ind w:left="450"/>
        <w:rPr>
          <w:sz w:val="22"/>
          <w:szCs w:val="22"/>
        </w:rPr>
      </w:pPr>
      <w:r>
        <w:rPr>
          <w:sz w:val="22"/>
          <w:szCs w:val="22"/>
        </w:rPr>
        <w:t>…</w:t>
      </w:r>
    </w:p>
    <w:p w14:paraId="29D2156A" w14:textId="2D8E8E56" w:rsidR="00BC3CDF" w:rsidRPr="00BC3CDF" w:rsidRDefault="00BC3CDF" w:rsidP="00BC3CDF">
      <w:pPr>
        <w:ind w:left="450"/>
        <w:rPr>
          <w:b/>
          <w:bCs/>
          <w:sz w:val="22"/>
          <w:szCs w:val="22"/>
        </w:rPr>
      </w:pPr>
      <w:r w:rsidRPr="00BC3CDF">
        <w:rPr>
          <w:b/>
          <w:bCs/>
          <w:sz w:val="22"/>
          <w:szCs w:val="22"/>
        </w:rPr>
        <w:t xml:space="preserve">776 Meaning of </w:t>
      </w:r>
      <w:r w:rsidR="00185948">
        <w:rPr>
          <w:b/>
          <w:bCs/>
          <w:sz w:val="22"/>
          <w:szCs w:val="22"/>
        </w:rPr>
        <w:t>“</w:t>
      </w:r>
      <w:r w:rsidRPr="00BC3CDF">
        <w:rPr>
          <w:b/>
          <w:bCs/>
          <w:sz w:val="22"/>
          <w:szCs w:val="22"/>
        </w:rPr>
        <w:t>tax-neutral</w:t>
      </w:r>
      <w:r w:rsidR="00185948">
        <w:rPr>
          <w:b/>
          <w:bCs/>
          <w:sz w:val="22"/>
          <w:szCs w:val="22"/>
        </w:rPr>
        <w:t>”</w:t>
      </w:r>
      <w:r w:rsidRPr="00BC3CDF">
        <w:rPr>
          <w:b/>
          <w:bCs/>
          <w:sz w:val="22"/>
          <w:szCs w:val="22"/>
        </w:rPr>
        <w:t xml:space="preserve"> transfer</w:t>
      </w:r>
    </w:p>
    <w:p w14:paraId="7B8C5B2C" w14:textId="481BDF45" w:rsidR="00BC3CDF" w:rsidRPr="00BC3CDF" w:rsidRDefault="00BC3CDF" w:rsidP="00BC3CDF">
      <w:pPr>
        <w:ind w:left="450"/>
        <w:rPr>
          <w:sz w:val="22"/>
          <w:szCs w:val="22"/>
        </w:rPr>
      </w:pPr>
      <w:r w:rsidRPr="00BC3CDF">
        <w:rPr>
          <w:sz w:val="22"/>
          <w:szCs w:val="22"/>
        </w:rPr>
        <w:t xml:space="preserve">(1)  This section sets out the consequences of a transfer of an asset being </w:t>
      </w:r>
      <w:r w:rsidR="00185948">
        <w:rPr>
          <w:sz w:val="22"/>
          <w:szCs w:val="22"/>
        </w:rPr>
        <w:t>“</w:t>
      </w:r>
      <w:r w:rsidRPr="00BC3CDF">
        <w:rPr>
          <w:sz w:val="22"/>
          <w:szCs w:val="22"/>
        </w:rPr>
        <w:t>tax-neutral</w:t>
      </w:r>
      <w:r w:rsidR="00185948">
        <w:rPr>
          <w:sz w:val="22"/>
          <w:szCs w:val="22"/>
        </w:rPr>
        <w:t>”</w:t>
      </w:r>
      <w:r w:rsidRPr="00BC3CDF">
        <w:rPr>
          <w:sz w:val="22"/>
          <w:szCs w:val="22"/>
        </w:rPr>
        <w:t xml:space="preserve"> for the purposes of this Part.</w:t>
      </w:r>
    </w:p>
    <w:p w14:paraId="529294C1" w14:textId="77777777" w:rsidR="00BC3CDF" w:rsidRPr="00BC3CDF" w:rsidRDefault="00BC3CDF" w:rsidP="00BC3CDF">
      <w:pPr>
        <w:ind w:left="450"/>
        <w:rPr>
          <w:sz w:val="22"/>
          <w:szCs w:val="22"/>
        </w:rPr>
      </w:pPr>
      <w:r w:rsidRPr="00BC3CDF">
        <w:rPr>
          <w:sz w:val="22"/>
          <w:szCs w:val="22"/>
        </w:rPr>
        <w:t>(2)  The transfer is treated for those purposes as not involving—</w:t>
      </w:r>
    </w:p>
    <w:p w14:paraId="5C618DFF" w14:textId="77777777" w:rsidR="00BC3CDF" w:rsidRPr="00BC3CDF" w:rsidRDefault="00BC3CDF" w:rsidP="00BC3CDF">
      <w:pPr>
        <w:ind w:left="450"/>
        <w:rPr>
          <w:sz w:val="22"/>
          <w:szCs w:val="22"/>
        </w:rPr>
      </w:pPr>
      <w:r w:rsidRPr="00BC3CDF">
        <w:rPr>
          <w:sz w:val="22"/>
          <w:szCs w:val="22"/>
        </w:rPr>
        <w:t>(a)  any realisation of the asset by the transferor, or</w:t>
      </w:r>
    </w:p>
    <w:p w14:paraId="25916055" w14:textId="77777777" w:rsidR="00BC3CDF" w:rsidRPr="00BC3CDF" w:rsidRDefault="00BC3CDF" w:rsidP="00BC3CDF">
      <w:pPr>
        <w:ind w:left="450"/>
        <w:rPr>
          <w:sz w:val="22"/>
          <w:szCs w:val="22"/>
        </w:rPr>
      </w:pPr>
      <w:r w:rsidRPr="00BC3CDF">
        <w:rPr>
          <w:sz w:val="22"/>
          <w:szCs w:val="22"/>
        </w:rPr>
        <w:t>(b)  any acquisition of the asset by the transferee.</w:t>
      </w:r>
    </w:p>
    <w:p w14:paraId="5529578C" w14:textId="77777777" w:rsidR="00BC3CDF" w:rsidRPr="00BC3CDF" w:rsidRDefault="00BC3CDF" w:rsidP="00BC3CDF">
      <w:pPr>
        <w:ind w:left="450"/>
        <w:rPr>
          <w:sz w:val="22"/>
          <w:szCs w:val="22"/>
        </w:rPr>
      </w:pPr>
      <w:r w:rsidRPr="00BC3CDF">
        <w:rPr>
          <w:sz w:val="22"/>
          <w:szCs w:val="22"/>
        </w:rPr>
        <w:t>(3)  The transferee is treated for those purposes—</w:t>
      </w:r>
    </w:p>
    <w:p w14:paraId="2E107851" w14:textId="77777777" w:rsidR="00BC3CDF" w:rsidRPr="00BC3CDF" w:rsidRDefault="00BC3CDF" w:rsidP="00BC3CDF">
      <w:pPr>
        <w:ind w:left="450"/>
        <w:rPr>
          <w:sz w:val="22"/>
          <w:szCs w:val="22"/>
        </w:rPr>
      </w:pPr>
      <w:r w:rsidRPr="00BC3CDF">
        <w:rPr>
          <w:sz w:val="22"/>
          <w:szCs w:val="22"/>
        </w:rPr>
        <w:lastRenderedPageBreak/>
        <w:t xml:space="preserve">(a)  as having </w:t>
      </w:r>
      <w:proofErr w:type="gramStart"/>
      <w:r w:rsidRPr="00BC3CDF">
        <w:rPr>
          <w:sz w:val="22"/>
          <w:szCs w:val="22"/>
        </w:rPr>
        <w:t>held the asset at all times</w:t>
      </w:r>
      <w:proofErr w:type="gramEnd"/>
      <w:r w:rsidRPr="00BC3CDF">
        <w:rPr>
          <w:sz w:val="22"/>
          <w:szCs w:val="22"/>
        </w:rPr>
        <w:t xml:space="preserve"> when it was held by the transferor, and</w:t>
      </w:r>
    </w:p>
    <w:p w14:paraId="48E488D4" w14:textId="77777777" w:rsidR="00BC3CDF" w:rsidRPr="00BC3CDF" w:rsidRDefault="00BC3CDF" w:rsidP="00BC3CDF">
      <w:pPr>
        <w:ind w:left="450"/>
        <w:rPr>
          <w:sz w:val="22"/>
          <w:szCs w:val="22"/>
        </w:rPr>
      </w:pPr>
      <w:r w:rsidRPr="00BC3CDF">
        <w:rPr>
          <w:sz w:val="22"/>
          <w:szCs w:val="22"/>
        </w:rPr>
        <w:t>(b)  as having done all such things in relation to the asset as were done by the transferor.</w:t>
      </w:r>
    </w:p>
    <w:p w14:paraId="0261F8D9" w14:textId="77777777" w:rsidR="00BC3CDF" w:rsidRPr="00BC3CDF" w:rsidRDefault="00BC3CDF" w:rsidP="00BC3CDF">
      <w:pPr>
        <w:ind w:left="450"/>
        <w:rPr>
          <w:sz w:val="22"/>
          <w:szCs w:val="22"/>
        </w:rPr>
      </w:pPr>
      <w:r w:rsidRPr="00BC3CDF">
        <w:rPr>
          <w:sz w:val="22"/>
          <w:szCs w:val="22"/>
        </w:rPr>
        <w:t>(4)  In particular—</w:t>
      </w:r>
    </w:p>
    <w:p w14:paraId="0394496B" w14:textId="77777777" w:rsidR="00BC3CDF" w:rsidRPr="00BC3CDF" w:rsidRDefault="00BC3CDF" w:rsidP="00BC3CDF">
      <w:pPr>
        <w:ind w:left="450"/>
        <w:rPr>
          <w:sz w:val="22"/>
          <w:szCs w:val="22"/>
        </w:rPr>
      </w:pPr>
      <w:r w:rsidRPr="00BC3CDF">
        <w:rPr>
          <w:sz w:val="22"/>
          <w:szCs w:val="22"/>
        </w:rPr>
        <w:t>(a)  the original cost of the asset in the hands of the transferor is treated as the original cost in the hands of the transferee, and</w:t>
      </w:r>
    </w:p>
    <w:p w14:paraId="6AD14445" w14:textId="77777777" w:rsidR="00BC3CDF" w:rsidRPr="00BC3CDF" w:rsidRDefault="00BC3CDF" w:rsidP="00BC3CDF">
      <w:pPr>
        <w:ind w:left="450"/>
        <w:rPr>
          <w:sz w:val="22"/>
          <w:szCs w:val="22"/>
        </w:rPr>
      </w:pPr>
      <w:r w:rsidRPr="00BC3CDF">
        <w:rPr>
          <w:sz w:val="22"/>
          <w:szCs w:val="22"/>
        </w:rPr>
        <w:t>(b)  all such credits and debits in relation to the asset as have been brought into account for tax purposes by the transferor under this Part are treated as if they had been brought into account by the transferee.</w:t>
      </w:r>
    </w:p>
    <w:p w14:paraId="0DCBB0A8" w14:textId="7934F6F3" w:rsidR="00BC3CDF" w:rsidRPr="00BC3CDF" w:rsidRDefault="00BC3CDF" w:rsidP="00BC3CDF">
      <w:pPr>
        <w:ind w:left="450"/>
        <w:rPr>
          <w:sz w:val="22"/>
          <w:szCs w:val="22"/>
        </w:rPr>
      </w:pPr>
      <w:r w:rsidRPr="00BC3CDF">
        <w:rPr>
          <w:sz w:val="22"/>
          <w:szCs w:val="22"/>
        </w:rPr>
        <w:t>(5)  The references in subsection (4)(a) to the cost of the asset are to the cost recognised for tax purposes.</w:t>
      </w:r>
    </w:p>
    <w:p w14:paraId="4519661D" w14:textId="1D1245EA" w:rsidR="00D115EE" w:rsidRDefault="00D115EE" w:rsidP="004A24D9">
      <w:pPr>
        <w:pStyle w:val="Bodytexttax1"/>
      </w:pPr>
      <w:r>
        <w:t xml:space="preserve">As the FTT </w:t>
      </w:r>
      <w:r w:rsidR="00156996">
        <w:t>also noted</w:t>
      </w:r>
      <w:r>
        <w:t xml:space="preserve"> in its decision (FTT [</w:t>
      </w:r>
      <w:r w:rsidRPr="00DD2F7F">
        <w:t>30</w:t>
      </w:r>
      <w:r>
        <w:t>]), where s</w:t>
      </w:r>
      <w:r w:rsidR="00156996">
        <w:t>775</w:t>
      </w:r>
      <w:r>
        <w:t xml:space="preserve"> </w:t>
      </w:r>
      <w:r w:rsidR="00156996">
        <w:t>and s776 apply</w:t>
      </w:r>
      <w:r>
        <w:t xml:space="preserve">, no charge to corporation tax arises when one company transfers </w:t>
      </w:r>
      <w:r w:rsidR="00156996">
        <w:t xml:space="preserve">intangible fixed </w:t>
      </w:r>
      <w:r>
        <w:t>assets to another company which is a member of the same group.  Th</w:t>
      </w:r>
      <w:r w:rsidR="00156996">
        <w:t xml:space="preserve">e legislation </w:t>
      </w:r>
      <w:proofErr w:type="gramStart"/>
      <w:r w:rsidR="00156996">
        <w:t>achieves this result by treating the transferee company as having held the relevant assets at all times</w:t>
      </w:r>
      <w:proofErr w:type="gramEnd"/>
      <w:r w:rsidR="00156996">
        <w:t xml:space="preserve"> when the relevant assets were held by the transferor company and as having done all things in relation to the relevant assets that were done by the transferor company.  </w:t>
      </w:r>
      <w:r w:rsidR="00DE43A8">
        <w:t>In certain circumstances, a t</w:t>
      </w:r>
      <w:r>
        <w:t>ax charge may arise in the future</w:t>
      </w:r>
      <w:r w:rsidR="00A63CD0">
        <w:t>,</w:t>
      </w:r>
      <w:r>
        <w:t xml:space="preserve"> if the transferee company disposes of the assets or</w:t>
      </w:r>
      <w:r w:rsidR="00DE43A8">
        <w:t xml:space="preserve"> </w:t>
      </w:r>
      <w:r>
        <w:t xml:space="preserve">if the transferee company ceases to be a member of the group within six years of the transfer of the assets to it. </w:t>
      </w:r>
    </w:p>
    <w:p w14:paraId="320D1468" w14:textId="2F754A63" w:rsidR="00EE273C" w:rsidRDefault="00EE273C" w:rsidP="00EE273C">
      <w:pPr>
        <w:pStyle w:val="Bodytexttax1"/>
      </w:pPr>
      <w:r>
        <w:t xml:space="preserve">The definition of a </w:t>
      </w:r>
      <w:r w:rsidR="00185948">
        <w:t>“</w:t>
      </w:r>
      <w:r>
        <w:t>group</w:t>
      </w:r>
      <w:r w:rsidR="00185948">
        <w:t>”</w:t>
      </w:r>
      <w:r>
        <w:t xml:space="preserve"> for these purposes is contained in s764</w:t>
      </w:r>
      <w:r w:rsidR="007F3517">
        <w:t xml:space="preserve"> to s</w:t>
      </w:r>
      <w:r>
        <w:t>767 CTA 2009.   It is in similar terms to the definition of a group for the purposes of corporation tax on chargeable gains.  As we have mentioned above, it is common ground between the parties that each of JTIH, JTISA and Gallaher were members of the same group for these purposes</w:t>
      </w:r>
      <w:r w:rsidR="00DE43A8">
        <w:t xml:space="preserve"> at all material times</w:t>
      </w:r>
      <w:r>
        <w:t xml:space="preserve">.  </w:t>
      </w:r>
    </w:p>
    <w:p w14:paraId="542C1632" w14:textId="33300660" w:rsidR="00EE273C" w:rsidRDefault="00EE273C" w:rsidP="004A24D9">
      <w:pPr>
        <w:pStyle w:val="Bodytexttax1"/>
      </w:pPr>
      <w:r>
        <w:t xml:space="preserve">Although the mechanism by which it is achieved is slightly different, the effect of both sets of rules is to defer the tax charge on the accrued gain until a later disposal or realization of the </w:t>
      </w:r>
      <w:r w:rsidR="00FB7F61">
        <w:t xml:space="preserve">relevant assets or, in some circumstances, if the transferee company leaves the group.  In both cases, the key condition for this treatment is that the relevant assets remain within the scope of UK corporation tax </w:t>
      </w:r>
      <w:r w:rsidR="00A63CD0">
        <w:t>(s171(1A) TCGA and s775(1) CTA 2009).  This will occur if either the transferee company is resident in the UK for tax purposes o</w:t>
      </w:r>
      <w:r w:rsidR="00DE43A8">
        <w:t>r</w:t>
      </w:r>
      <w:r w:rsidR="00A63CD0">
        <w:t xml:space="preserve"> if the transferee company is not resident in the UK for tax purposes but is carrying on a trade in the UK through a permanent establishment and the assets are held by the transferee company for the purposes of that</w:t>
      </w:r>
      <w:r w:rsidR="00DE43A8">
        <w:t xml:space="preserve"> trade or</w:t>
      </w:r>
      <w:r w:rsidR="00A63CD0">
        <w:t xml:space="preserve"> permanent establishment.  </w:t>
      </w:r>
      <w:r w:rsidR="00FF3F02">
        <w:t xml:space="preserve">It is the application of this condition to the 2011 Disposal and the 2014 Disposal which, Gallaher asserts, is contrary to EU law.  </w:t>
      </w:r>
    </w:p>
    <w:p w14:paraId="3F5599D2" w14:textId="5C11119F" w:rsidR="00BC3CDF" w:rsidRDefault="00A63CD0" w:rsidP="00A63CD0">
      <w:pPr>
        <w:pStyle w:val="Heading2"/>
      </w:pPr>
      <w:r>
        <w:t>Relevant provisions of EU law</w:t>
      </w:r>
    </w:p>
    <w:p w14:paraId="15CC356A" w14:textId="749A0FCE" w:rsidR="007F3517" w:rsidRDefault="007F3517" w:rsidP="007F3517">
      <w:pPr>
        <w:pStyle w:val="Bodytexttax1"/>
      </w:pPr>
      <w:r>
        <w:t xml:space="preserve">  The </w:t>
      </w:r>
      <w:r w:rsidR="00FF3F02">
        <w:t>main</w:t>
      </w:r>
      <w:r>
        <w:t xml:space="preserve"> provisions </w:t>
      </w:r>
      <w:r w:rsidR="00DE43A8">
        <w:t>of</w:t>
      </w:r>
      <w:r>
        <w:t xml:space="preserve"> EU law for our purposes are Article 49 of the Treaty on the Functioning of the European Union (</w:t>
      </w:r>
      <w:r w:rsidR="00185948">
        <w:t>“</w:t>
      </w:r>
      <w:r>
        <w:t>TFEU</w:t>
      </w:r>
      <w:r w:rsidR="00185948">
        <w:t>”</w:t>
      </w:r>
      <w:r>
        <w:t xml:space="preserve">), which provides for freedom of </w:t>
      </w:r>
      <w:r>
        <w:lastRenderedPageBreak/>
        <w:t>establishment, and Articles 63 to 65</w:t>
      </w:r>
      <w:r w:rsidR="00A736DC">
        <w:t xml:space="preserve"> TFEU</w:t>
      </w:r>
      <w:r w:rsidR="004D2501">
        <w:t xml:space="preserve">, which provide for freedom </w:t>
      </w:r>
      <w:r w:rsidR="00FC5C86">
        <w:t>of</w:t>
      </w:r>
      <w:r w:rsidR="004D2501">
        <w:t xml:space="preserve"> move</w:t>
      </w:r>
      <w:r w:rsidR="00FC5C86">
        <w:t>ment of</w:t>
      </w:r>
      <w:r w:rsidR="004D2501">
        <w:t xml:space="preserve"> capital.</w:t>
      </w:r>
    </w:p>
    <w:p w14:paraId="0A711D46" w14:textId="15F04E97" w:rsidR="004D2501" w:rsidRDefault="00FC5C86" w:rsidP="007F3517">
      <w:pPr>
        <w:pStyle w:val="Bodytexttax1"/>
      </w:pPr>
      <w:r>
        <w:t>Article 49 T</w:t>
      </w:r>
      <w:r w:rsidR="00C92C2A">
        <w:t xml:space="preserve">FEU </w:t>
      </w:r>
      <w:r>
        <w:t>provides as follows:</w:t>
      </w:r>
    </w:p>
    <w:p w14:paraId="09A1DC74" w14:textId="01C1A158" w:rsidR="00C92C2A" w:rsidRPr="00C92C2A" w:rsidRDefault="00C92C2A" w:rsidP="00FC5C86">
      <w:pPr>
        <w:ind w:left="450"/>
        <w:rPr>
          <w:b/>
          <w:bCs/>
          <w:sz w:val="22"/>
          <w:szCs w:val="22"/>
        </w:rPr>
      </w:pPr>
      <w:r w:rsidRPr="00C92C2A">
        <w:rPr>
          <w:b/>
          <w:bCs/>
          <w:sz w:val="22"/>
          <w:szCs w:val="22"/>
        </w:rPr>
        <w:t>Article 49</w:t>
      </w:r>
    </w:p>
    <w:p w14:paraId="1A07B0BF" w14:textId="3F03A370" w:rsidR="004D2501" w:rsidRPr="00FC5C86" w:rsidRDefault="004D2501" w:rsidP="00FC5C86">
      <w:pPr>
        <w:ind w:left="450"/>
        <w:rPr>
          <w:sz w:val="22"/>
          <w:szCs w:val="22"/>
        </w:rPr>
      </w:pPr>
      <w:r w:rsidRPr="00FC5C86">
        <w:rPr>
          <w:sz w:val="22"/>
          <w:szCs w:val="22"/>
        </w:rPr>
        <w:t>Within the framework of the provisions set out below, restrictions on the freedom of establishment of nationals of a Member State in the territory of another Member State shall be prohibited. Such prohibition shall also apply to restrictions on the setting-up of agencies, branches or subsidiaries by nationals of any Member State established in the territory of any Member State.</w:t>
      </w:r>
    </w:p>
    <w:p w14:paraId="341448B5" w14:textId="63549CA9" w:rsidR="004D2501" w:rsidRPr="00FC5C86" w:rsidRDefault="004D2501" w:rsidP="00FC5C86">
      <w:pPr>
        <w:ind w:left="450"/>
        <w:rPr>
          <w:sz w:val="22"/>
          <w:szCs w:val="22"/>
        </w:rPr>
      </w:pPr>
      <w:r w:rsidRPr="00FC5C86">
        <w:rPr>
          <w:sz w:val="22"/>
          <w:szCs w:val="22"/>
        </w:rPr>
        <w:t>Freedom of establishment shall include the right to take up and pursue activities as self-employed persons and to set up and manage undertakings, in particular companies or firms within the meaning of the second paragraph of Article 54, under the conditions laid down for its own nationals by the law of the country where such establishment is effected, subject to the provisions of the Chapter relating to capital.</w:t>
      </w:r>
    </w:p>
    <w:p w14:paraId="2225C54F" w14:textId="4BC98A9B" w:rsidR="007F3517" w:rsidRDefault="004D2501" w:rsidP="00FC5C86">
      <w:pPr>
        <w:pStyle w:val="Bodytexttax1"/>
      </w:pPr>
      <w:r>
        <w:t>Article 54 TFEU</w:t>
      </w:r>
      <w:r w:rsidR="00FC5C86">
        <w:t xml:space="preserve"> confirms that </w:t>
      </w:r>
      <w:r>
        <w:t xml:space="preserve">companies which have their registered office, central administration or principal place of business in the EU can </w:t>
      </w:r>
      <w:r w:rsidR="00FC5C86">
        <w:t xml:space="preserve">take advantage of </w:t>
      </w:r>
      <w:r>
        <w:t xml:space="preserve">the freedom of establishment </w:t>
      </w:r>
      <w:r w:rsidR="00FC5C86">
        <w:t xml:space="preserve">under </w:t>
      </w:r>
      <w:r>
        <w:t>Article 49 in the same way as natural person</w:t>
      </w:r>
      <w:r w:rsidR="00FC5C86">
        <w:t xml:space="preserve">s. </w:t>
      </w:r>
    </w:p>
    <w:p w14:paraId="0DD74523" w14:textId="258A07D9" w:rsidR="00FC5C86" w:rsidRDefault="00FC5C86" w:rsidP="00FC5C86">
      <w:pPr>
        <w:pStyle w:val="Bodytexttax1"/>
      </w:pPr>
      <w:r>
        <w:t>Articles 63 to 65 TFEU provide as follows:</w:t>
      </w:r>
    </w:p>
    <w:p w14:paraId="065E076D" w14:textId="77777777" w:rsidR="00FC5C86" w:rsidRPr="00FC5C86" w:rsidRDefault="00FC5C86" w:rsidP="00FC5C86">
      <w:pPr>
        <w:ind w:left="450"/>
        <w:rPr>
          <w:b/>
          <w:bCs/>
          <w:sz w:val="22"/>
          <w:szCs w:val="22"/>
        </w:rPr>
      </w:pPr>
      <w:r w:rsidRPr="00FC5C86">
        <w:rPr>
          <w:b/>
          <w:bCs/>
          <w:sz w:val="22"/>
          <w:szCs w:val="22"/>
        </w:rPr>
        <w:t>Article 63</w:t>
      </w:r>
    </w:p>
    <w:p w14:paraId="604F9412" w14:textId="77777777" w:rsidR="00FC5C86" w:rsidRPr="00FC5C86" w:rsidRDefault="00FC5C86" w:rsidP="00FC5C86">
      <w:pPr>
        <w:ind w:left="450"/>
        <w:rPr>
          <w:sz w:val="22"/>
          <w:szCs w:val="22"/>
        </w:rPr>
      </w:pPr>
      <w:r w:rsidRPr="00FC5C86">
        <w:rPr>
          <w:sz w:val="22"/>
          <w:szCs w:val="22"/>
        </w:rPr>
        <w:t>1.  Within the framework of the provisions set out in this Chapter, all restrictions on the movement of capital between Member States and between Member States and third countries shall be prohibited.</w:t>
      </w:r>
    </w:p>
    <w:p w14:paraId="67F06E92" w14:textId="77777777" w:rsidR="00FC5C86" w:rsidRPr="00FC5C86" w:rsidRDefault="00FC5C86" w:rsidP="00FC5C86">
      <w:pPr>
        <w:ind w:left="450"/>
        <w:rPr>
          <w:sz w:val="22"/>
          <w:szCs w:val="22"/>
        </w:rPr>
      </w:pPr>
      <w:r w:rsidRPr="00FC5C86">
        <w:rPr>
          <w:sz w:val="22"/>
          <w:szCs w:val="22"/>
        </w:rPr>
        <w:t>2.  Within the framework of the provisions set out in this Chapter, all restrictions on payments between Member States and between Member States and third countries shall be prohibited.</w:t>
      </w:r>
    </w:p>
    <w:p w14:paraId="0DCED6CC" w14:textId="77777777" w:rsidR="00FC5C86" w:rsidRPr="00FC5C86" w:rsidRDefault="00FC5C86" w:rsidP="00FC5C86">
      <w:pPr>
        <w:ind w:left="450"/>
        <w:rPr>
          <w:b/>
          <w:bCs/>
          <w:sz w:val="22"/>
          <w:szCs w:val="22"/>
        </w:rPr>
      </w:pPr>
      <w:r w:rsidRPr="00FC5C86">
        <w:rPr>
          <w:b/>
          <w:bCs/>
          <w:sz w:val="22"/>
          <w:szCs w:val="22"/>
        </w:rPr>
        <w:t>Article 64</w:t>
      </w:r>
    </w:p>
    <w:p w14:paraId="5312F7F8" w14:textId="77777777" w:rsidR="00FC5C86" w:rsidRPr="00FC5C86" w:rsidRDefault="00FC5C86" w:rsidP="00FC5C86">
      <w:pPr>
        <w:ind w:left="450"/>
        <w:rPr>
          <w:sz w:val="22"/>
          <w:szCs w:val="22"/>
        </w:rPr>
      </w:pPr>
      <w:r w:rsidRPr="00FC5C86">
        <w:rPr>
          <w:sz w:val="22"/>
          <w:szCs w:val="22"/>
        </w:rPr>
        <w:t>1.  The provisions of Article 63 shall be without prejudice to the application to third countries of any restrictions which exist on 31 December 1993 under national or Union law adopted in respect of the movement of capital to or from third countries involving direct investment — including in real estate — establishment, the provision of financial services or the admission of securities to capital markets…</w:t>
      </w:r>
    </w:p>
    <w:p w14:paraId="19BFD736" w14:textId="77777777" w:rsidR="00FC5C86" w:rsidRPr="00FC5C86" w:rsidRDefault="00FC5C86" w:rsidP="00FC5C86">
      <w:pPr>
        <w:ind w:left="450"/>
        <w:rPr>
          <w:b/>
          <w:bCs/>
          <w:sz w:val="22"/>
          <w:szCs w:val="22"/>
        </w:rPr>
      </w:pPr>
      <w:r w:rsidRPr="00FC5C86">
        <w:rPr>
          <w:b/>
          <w:bCs/>
          <w:sz w:val="22"/>
          <w:szCs w:val="22"/>
        </w:rPr>
        <w:t>Article 65</w:t>
      </w:r>
    </w:p>
    <w:p w14:paraId="6FAFFE98" w14:textId="77777777" w:rsidR="00FC5C86" w:rsidRPr="00FC5C86" w:rsidRDefault="00FC5C86" w:rsidP="00FC5C86">
      <w:pPr>
        <w:ind w:left="450"/>
        <w:rPr>
          <w:sz w:val="22"/>
          <w:szCs w:val="22"/>
        </w:rPr>
      </w:pPr>
      <w:r w:rsidRPr="00FC5C86">
        <w:rPr>
          <w:sz w:val="22"/>
          <w:szCs w:val="22"/>
        </w:rPr>
        <w:t>1.  The provisions of Article 63 shall be without prejudice to the right of Member States:</w:t>
      </w:r>
    </w:p>
    <w:p w14:paraId="4DC6EE1A" w14:textId="77777777" w:rsidR="00FC5C86" w:rsidRPr="00FC5C86" w:rsidRDefault="00FC5C86" w:rsidP="00FC5C86">
      <w:pPr>
        <w:ind w:left="450"/>
        <w:rPr>
          <w:sz w:val="22"/>
          <w:szCs w:val="22"/>
        </w:rPr>
      </w:pPr>
      <w:r w:rsidRPr="00FC5C86">
        <w:rPr>
          <w:sz w:val="22"/>
          <w:szCs w:val="22"/>
        </w:rPr>
        <w:t xml:space="preserve">a.  to apply the relevant provisions of their tax law which distinguish between taxpayers who are not in the same situation </w:t>
      </w:r>
      <w:proofErr w:type="gramStart"/>
      <w:r w:rsidRPr="00FC5C86">
        <w:rPr>
          <w:sz w:val="22"/>
          <w:szCs w:val="22"/>
        </w:rPr>
        <w:t>with regard to</w:t>
      </w:r>
      <w:proofErr w:type="gramEnd"/>
      <w:r w:rsidRPr="00FC5C86">
        <w:rPr>
          <w:sz w:val="22"/>
          <w:szCs w:val="22"/>
        </w:rPr>
        <w:t xml:space="preserve"> their place of residence or with regard to the place where their capital is invested; …</w:t>
      </w:r>
    </w:p>
    <w:p w14:paraId="63A9300A" w14:textId="77777777" w:rsidR="00FC5C86" w:rsidRPr="00FC5C86" w:rsidRDefault="00FC5C86" w:rsidP="00FC5C86">
      <w:pPr>
        <w:ind w:left="450"/>
        <w:rPr>
          <w:sz w:val="22"/>
          <w:szCs w:val="22"/>
        </w:rPr>
      </w:pPr>
      <w:r w:rsidRPr="00FC5C86">
        <w:rPr>
          <w:sz w:val="22"/>
          <w:szCs w:val="22"/>
        </w:rPr>
        <w:t>2.  …</w:t>
      </w:r>
    </w:p>
    <w:p w14:paraId="6CA4CC3E" w14:textId="3C1F297D" w:rsidR="00FC5C86" w:rsidRPr="00FC5C86" w:rsidRDefault="00FC5C86" w:rsidP="00FC5C86">
      <w:pPr>
        <w:ind w:left="450"/>
        <w:rPr>
          <w:sz w:val="22"/>
          <w:szCs w:val="22"/>
        </w:rPr>
      </w:pPr>
      <w:r w:rsidRPr="00FC5C86">
        <w:rPr>
          <w:sz w:val="22"/>
          <w:szCs w:val="22"/>
        </w:rPr>
        <w:lastRenderedPageBreak/>
        <w:t>3.  The measures and procedures referred to in paragraphs 1 and 2 shall not constitute a means of arbitrary discrimination or a disguised restriction on the free movement of capital and payments as defined in Article 63.</w:t>
      </w:r>
    </w:p>
    <w:p w14:paraId="3B5BDAC3" w14:textId="6ECD67E0" w:rsidR="00FC5C86" w:rsidRDefault="00C92C2A" w:rsidP="00FC5C86">
      <w:pPr>
        <w:pStyle w:val="Bodytexttax1"/>
      </w:pPr>
      <w:r>
        <w:t>As identified by the FTT (FTT [3</w:t>
      </w:r>
      <w:r w:rsidR="00DE43A8">
        <w:t>7</w:t>
      </w:r>
      <w:r>
        <w:t xml:space="preserve">]), </w:t>
      </w:r>
      <w:r w:rsidRPr="00C92C2A">
        <w:t>Council Directive 88/361/EEC, which required Member States to abolish restrictions on movements of capital, contained, at Annex 1 to th</w:t>
      </w:r>
      <w:r>
        <w:t>at</w:t>
      </w:r>
      <w:r w:rsidRPr="00C92C2A">
        <w:t xml:space="preserve"> Directive, a </w:t>
      </w:r>
      <w:r w:rsidR="00185948">
        <w:t>“</w:t>
      </w:r>
      <w:r w:rsidRPr="00C92C2A">
        <w:t>nomenclature</w:t>
      </w:r>
      <w:r w:rsidR="00185948">
        <w:t>”</w:t>
      </w:r>
      <w:r w:rsidRPr="00C92C2A">
        <w:t xml:space="preserve"> (the </w:t>
      </w:r>
      <w:r w:rsidR="00185948">
        <w:t>“</w:t>
      </w:r>
      <w:r w:rsidRPr="00C92C2A">
        <w:t>Nomenclature</w:t>
      </w:r>
      <w:r w:rsidR="00185948">
        <w:t>”</w:t>
      </w:r>
      <w:r w:rsidRPr="00C92C2A">
        <w:t xml:space="preserve">) classifying various capital movements in order to </w:t>
      </w:r>
      <w:r w:rsidR="00185948">
        <w:t>“</w:t>
      </w:r>
      <w:r w:rsidRPr="00C92C2A">
        <w:t>facilitate the application of [the] Directive</w:t>
      </w:r>
      <w:r w:rsidR="00185948">
        <w:t>”</w:t>
      </w:r>
      <w:r>
        <w:t>.</w:t>
      </w:r>
      <w:r w:rsidRPr="00C92C2A">
        <w:t xml:space="preserve"> </w:t>
      </w:r>
      <w:r>
        <w:t xml:space="preserve"> The </w:t>
      </w:r>
      <w:r w:rsidRPr="00C92C2A">
        <w:t xml:space="preserve">Directive was </w:t>
      </w:r>
      <w:r>
        <w:t xml:space="preserve">made under </w:t>
      </w:r>
      <w:r w:rsidRPr="00C92C2A">
        <w:t>Article 67 of the T</w:t>
      </w:r>
      <w:r w:rsidR="00A736DC">
        <w:t xml:space="preserve">reaty establishing the </w:t>
      </w:r>
      <w:r w:rsidRPr="00C92C2A">
        <w:t>E</w:t>
      </w:r>
      <w:r w:rsidR="00A736DC">
        <w:t xml:space="preserve">uropean </w:t>
      </w:r>
      <w:r w:rsidRPr="00C92C2A">
        <w:t>C</w:t>
      </w:r>
      <w:r w:rsidR="00A736DC">
        <w:t>ommunity</w:t>
      </w:r>
      <w:r>
        <w:t xml:space="preserve">, which </w:t>
      </w:r>
      <w:r w:rsidRPr="00C92C2A">
        <w:t>was repealed by the Treaty of Amsterdam</w:t>
      </w:r>
      <w:r>
        <w:t>.  However,</w:t>
      </w:r>
      <w:r w:rsidRPr="00C92C2A">
        <w:t xml:space="preserve"> the Nomenclature </w:t>
      </w:r>
      <w:r w:rsidR="00185948">
        <w:t>“</w:t>
      </w:r>
      <w:r w:rsidRPr="00C92C2A">
        <w:t xml:space="preserve">retains the same indicative value, for the purposes of defining the term </w:t>
      </w:r>
      <w:r>
        <w:t>‘</w:t>
      </w:r>
      <w:r w:rsidRPr="00C92C2A">
        <w:t>movement of capital</w:t>
      </w:r>
      <w:r>
        <w:t>’</w:t>
      </w:r>
      <w:r w:rsidRPr="00C92C2A">
        <w:t xml:space="preserve"> as it did before [the entry into force of Article 63 of the TFEU], subject to the qualification, contained in the introduction to the nomenclature, that the list set out therein is not exhaustive</w:t>
      </w:r>
      <w:r w:rsidR="00185948">
        <w:t>”</w:t>
      </w:r>
      <w:r w:rsidRPr="00C92C2A">
        <w:t xml:space="preserve"> (</w:t>
      </w:r>
      <w:r w:rsidRPr="00C92C2A">
        <w:rPr>
          <w:i/>
          <w:iCs/>
        </w:rPr>
        <w:t xml:space="preserve">Test Claimants in the FII Group Litigation v Inland Revenue Commissioners </w:t>
      </w:r>
      <w:r w:rsidRPr="00C92C2A">
        <w:t xml:space="preserve">(Case C–446/04) </w:t>
      </w:r>
      <w:r w:rsidR="00A736DC">
        <w:t xml:space="preserve">at </w:t>
      </w:r>
      <w:r w:rsidRPr="00C92C2A">
        <w:t>[179])</w:t>
      </w:r>
      <w:r w:rsidR="00FD1F4C">
        <w:t xml:space="preserve">.  </w:t>
      </w:r>
    </w:p>
    <w:p w14:paraId="343DB4B0" w14:textId="451A6193" w:rsidR="007F3517" w:rsidRDefault="00FD1F4C" w:rsidP="00C92C2A">
      <w:pPr>
        <w:pStyle w:val="Bodytexttax1"/>
      </w:pPr>
      <w:r>
        <w:t xml:space="preserve">The </w:t>
      </w:r>
      <w:r w:rsidR="00DE43A8">
        <w:t xml:space="preserve">various EU treaties were incorporated into and given effect in UK domestic law by </w:t>
      </w:r>
      <w:r w:rsidR="00AF415D">
        <w:t xml:space="preserve">the </w:t>
      </w:r>
      <w:r>
        <w:t>European Communities Act 1972 (</w:t>
      </w:r>
      <w:r w:rsidR="00185948">
        <w:t>“</w:t>
      </w:r>
      <w:r>
        <w:t>ECA</w:t>
      </w:r>
      <w:r w:rsidR="00185948">
        <w:t>”</w:t>
      </w:r>
      <w:r>
        <w:t xml:space="preserve">).  </w:t>
      </w:r>
      <w:r w:rsidR="007F3517">
        <w:t xml:space="preserve">Section 2(1) </w:t>
      </w:r>
      <w:r>
        <w:t xml:space="preserve">ECA provided as </w:t>
      </w:r>
      <w:r w:rsidR="007F3517">
        <w:t xml:space="preserve">follows: </w:t>
      </w:r>
    </w:p>
    <w:p w14:paraId="488D47CA" w14:textId="0EE8143E" w:rsidR="007F3517" w:rsidRDefault="007F3517" w:rsidP="00C92C2A">
      <w:pPr>
        <w:ind w:left="450"/>
        <w:rPr>
          <w:sz w:val="22"/>
          <w:szCs w:val="22"/>
        </w:rPr>
      </w:pPr>
      <w:r w:rsidRPr="00C92C2A">
        <w:rPr>
          <w:sz w:val="22"/>
          <w:szCs w:val="22"/>
        </w:rPr>
        <w:t xml:space="preserve">(1)  All such rights, powers, liabilities, obligations and restrictions from time to time created or arising by or under the Treaties, and all such remedies and procedures from time to time provided for by or under the Treaties, as in accordance with the Treaties are without further enactment to be given legal effect or used in the United Kingdom shall be recognised and available in law, and be enforced, allowed and followed accordingly; and the expression </w:t>
      </w:r>
      <w:r w:rsidR="00185948">
        <w:rPr>
          <w:sz w:val="22"/>
          <w:szCs w:val="22"/>
        </w:rPr>
        <w:t>“</w:t>
      </w:r>
      <w:r w:rsidRPr="00C92C2A">
        <w:rPr>
          <w:sz w:val="22"/>
          <w:szCs w:val="22"/>
        </w:rPr>
        <w:t>enforceable EU right</w:t>
      </w:r>
      <w:r w:rsidR="00185948">
        <w:rPr>
          <w:sz w:val="22"/>
          <w:szCs w:val="22"/>
        </w:rPr>
        <w:t>”</w:t>
      </w:r>
      <w:r w:rsidRPr="00C92C2A">
        <w:rPr>
          <w:sz w:val="22"/>
          <w:szCs w:val="22"/>
        </w:rPr>
        <w:t xml:space="preserve"> and similar expressions shall be read as referring to one to which this subsection applies.</w:t>
      </w:r>
    </w:p>
    <w:p w14:paraId="785D3B8D" w14:textId="46B68DBB" w:rsidR="00AF415D" w:rsidRPr="009E4082" w:rsidRDefault="00AF415D" w:rsidP="00AF415D">
      <w:pPr>
        <w:pStyle w:val="Bodytexttax1"/>
        <w:rPr>
          <w:szCs w:val="24"/>
        </w:rPr>
      </w:pPr>
      <w:r w:rsidRPr="009E4082">
        <w:rPr>
          <w:szCs w:val="24"/>
        </w:rPr>
        <w:t>As part of the arrangements for the withdrawal of the UK from the EU, the ECA is repealed by the European Union (Withdrawal) Act 2018 (“EUWA 2018”) with effect from 31 January 2020.  However, the effect of s2 ECA (and other provisions of the ECA) is preserved</w:t>
      </w:r>
      <w:r w:rsidR="00ED2075" w:rsidRPr="009E4082">
        <w:rPr>
          <w:szCs w:val="24"/>
        </w:rPr>
        <w:t>,</w:t>
      </w:r>
      <w:r w:rsidRPr="009E4082">
        <w:rPr>
          <w:szCs w:val="24"/>
        </w:rPr>
        <w:t xml:space="preserve"> </w:t>
      </w:r>
      <w:r w:rsidR="00ED2075" w:rsidRPr="009E4082">
        <w:rPr>
          <w:szCs w:val="24"/>
        </w:rPr>
        <w:t xml:space="preserve">to some extent, </w:t>
      </w:r>
      <w:r w:rsidRPr="009E4082">
        <w:rPr>
          <w:szCs w:val="24"/>
        </w:rPr>
        <w:t xml:space="preserve">until the end of the transition period on 31 December 2020. </w:t>
      </w:r>
      <w:r w:rsidR="00ED2075" w:rsidRPr="009E4082">
        <w:rPr>
          <w:szCs w:val="24"/>
        </w:rPr>
        <w:t>We refer to other provisions of the EUWA 2018 later in this decision notice, but it is not relevant to the discussion of the substantive issues in these appeals.</w:t>
      </w:r>
    </w:p>
    <w:p w14:paraId="44B7D989" w14:textId="78049E72" w:rsidR="00FD1F4C" w:rsidRDefault="00FD1F4C" w:rsidP="00FD1F4C">
      <w:pPr>
        <w:pStyle w:val="Heading1"/>
      </w:pPr>
      <w:r>
        <w:t>The relevant facts</w:t>
      </w:r>
    </w:p>
    <w:p w14:paraId="4F2BC565" w14:textId="11C8167C" w:rsidR="006A6096" w:rsidRDefault="00FD1F4C" w:rsidP="007F3517">
      <w:pPr>
        <w:pStyle w:val="Bodytexttax1"/>
      </w:pPr>
      <w:r>
        <w:t xml:space="preserve"> The parties provided statement</w:t>
      </w:r>
      <w:r w:rsidR="002C3287">
        <w:t>s</w:t>
      </w:r>
      <w:r>
        <w:t xml:space="preserve"> of agreed facts and issues</w:t>
      </w:r>
      <w:r w:rsidR="002C3287">
        <w:t xml:space="preserve"> for </w:t>
      </w:r>
      <w:r w:rsidR="00FF3F02">
        <w:t xml:space="preserve">the 2011 Appeal and the </w:t>
      </w:r>
      <w:r w:rsidR="007E00D8">
        <w:t>2014 Appeal</w:t>
      </w:r>
      <w:r>
        <w:t xml:space="preserve">.  </w:t>
      </w:r>
      <w:r w:rsidR="006A6096">
        <w:t>We have set them out in the paragraphs below</w:t>
      </w:r>
      <w:r w:rsidR="00ED2075">
        <w:t xml:space="preserve"> with some amendments to reflect the defined terms that we have </w:t>
      </w:r>
      <w:r w:rsidR="00237BCD">
        <w:t>used in this decision notice</w:t>
      </w:r>
      <w:r w:rsidR="006A6096">
        <w:t>.</w:t>
      </w:r>
    </w:p>
    <w:p w14:paraId="1CF6AB07" w14:textId="77777777" w:rsidR="006A6096" w:rsidRPr="006A6096" w:rsidRDefault="006A6096" w:rsidP="006A6096">
      <w:pPr>
        <w:pStyle w:val="Heading2"/>
      </w:pPr>
      <w:r w:rsidRPr="006A6096">
        <w:t>The 2011 Disposal</w:t>
      </w:r>
    </w:p>
    <w:p w14:paraId="6B451B76" w14:textId="77777777" w:rsidR="00957D8C" w:rsidRDefault="00FD1F4C" w:rsidP="00957D8C">
      <w:pPr>
        <w:pStyle w:val="Bodytexttax1"/>
      </w:pPr>
      <w:r>
        <w:t xml:space="preserve"> </w:t>
      </w:r>
      <w:r w:rsidR="00957D8C">
        <w:t>The parties have agreed that the facts in relation to the 2011 Disposal are as follows:</w:t>
      </w:r>
    </w:p>
    <w:p w14:paraId="553B7813" w14:textId="5D4B0E2F" w:rsidR="00957D8C" w:rsidRDefault="00957D8C" w:rsidP="00957D8C">
      <w:pPr>
        <w:ind w:left="630"/>
      </w:pPr>
      <w:r>
        <w:t xml:space="preserve">(a)  </w:t>
      </w:r>
      <w:r w:rsidR="00237BCD">
        <w:t>Gallaher</w:t>
      </w:r>
      <w:r>
        <w:t xml:space="preserve"> is a UK resident company and is a member of the J</w:t>
      </w:r>
      <w:r w:rsidR="000C032A">
        <w:t>T</w:t>
      </w:r>
      <w:r>
        <w:t xml:space="preserve"> group of companies (the </w:t>
      </w:r>
      <w:r w:rsidR="00185948">
        <w:t>“</w:t>
      </w:r>
      <w:r>
        <w:t>JT Group</w:t>
      </w:r>
      <w:r w:rsidR="00185948">
        <w:t>”</w:t>
      </w:r>
      <w:r>
        <w:t xml:space="preserve">).  JT is a publicly-listed company resident in Japan. The JT Group is a global tobacco group and distributes products in 130 countries </w:t>
      </w:r>
      <w:r>
        <w:lastRenderedPageBreak/>
        <w:t xml:space="preserve">worldwide. </w:t>
      </w:r>
      <w:r w:rsidR="00237BCD">
        <w:t>Gallaher</w:t>
      </w:r>
      <w:r>
        <w:t xml:space="preserve"> and JT were incorporated in, respectively, England &amp; Wales and Japan;</w:t>
      </w:r>
    </w:p>
    <w:p w14:paraId="657A54A1" w14:textId="76DA5298" w:rsidR="00957D8C" w:rsidRDefault="00957D8C" w:rsidP="00957D8C">
      <w:pPr>
        <w:ind w:left="630"/>
      </w:pPr>
      <w:r>
        <w:t xml:space="preserve">(b)  </w:t>
      </w:r>
      <w:r w:rsidR="00237BCD">
        <w:t>Gallaher</w:t>
      </w:r>
      <w:r>
        <w:t xml:space="preserve"> became a member of the JT Group in 2007 when the shares in its UK resident parent company, Gallaher Group Limited (which at the time was called Gallaher Group Plc) (</w:t>
      </w:r>
      <w:r w:rsidR="00185948">
        <w:t>“</w:t>
      </w:r>
      <w:r>
        <w:t>GGL</w:t>
      </w:r>
      <w:r w:rsidR="00185948">
        <w:t>”</w:t>
      </w:r>
      <w:r>
        <w:t>), were acquired by a JT Group UK resident company called JTI (UK) Management Limited (</w:t>
      </w:r>
      <w:r w:rsidR="00185948">
        <w:t>“</w:t>
      </w:r>
      <w:r>
        <w:t>JTIUM</w:t>
      </w:r>
      <w:r w:rsidR="00185948">
        <w:t>”</w:t>
      </w:r>
      <w:r>
        <w:t>);</w:t>
      </w:r>
    </w:p>
    <w:p w14:paraId="210D9BA0" w14:textId="77777777" w:rsidR="00957D8C" w:rsidRDefault="00957D8C" w:rsidP="00957D8C">
      <w:pPr>
        <w:ind w:left="630"/>
      </w:pPr>
      <w:r>
        <w:t>(c)  JTIUM is owned by JTIH, a company resident in the Netherlands. JTIH also owns the entire shareholding in JTISA, a company resident in Geneva, Switzerland. Neither JTIH nor JTISA has a permanent establishment within the UK and neither is within the charge to UK corporation tax;</w:t>
      </w:r>
    </w:p>
    <w:p w14:paraId="22181BA0" w14:textId="5845E066" w:rsidR="00957D8C" w:rsidRDefault="00957D8C" w:rsidP="00957D8C">
      <w:pPr>
        <w:ind w:left="630"/>
      </w:pPr>
      <w:r>
        <w:t>(d)  following a restructuring that took place in 2009 and 2010, Benson &amp; Hedges Limited (</w:t>
      </w:r>
      <w:r w:rsidR="00185948">
        <w:t>“</w:t>
      </w:r>
      <w:r>
        <w:t>B&amp;HL</w:t>
      </w:r>
      <w:r w:rsidR="00185948">
        <w:t>”</w:t>
      </w:r>
      <w:r>
        <w:t xml:space="preserve">) became </w:t>
      </w:r>
      <w:r w:rsidR="00237BCD">
        <w:t>Gallaher’s</w:t>
      </w:r>
      <w:r>
        <w:t xml:space="preserve"> immediate parent company. In turn, Gallaher Overseas (Holdings) Limited (</w:t>
      </w:r>
      <w:r w:rsidR="00185948">
        <w:t>“</w:t>
      </w:r>
      <w:r>
        <w:t>GOHL</w:t>
      </w:r>
      <w:r w:rsidR="00185948">
        <w:t>”</w:t>
      </w:r>
      <w:r>
        <w:t>) became the immediate parent of B&amp;H Limited;</w:t>
      </w:r>
    </w:p>
    <w:p w14:paraId="11E87C14" w14:textId="2AFAB5A1" w:rsidR="00957D8C" w:rsidRDefault="00957D8C" w:rsidP="00957D8C">
      <w:pPr>
        <w:ind w:left="630"/>
      </w:pPr>
      <w:r>
        <w:t xml:space="preserve">(e)  thus, </w:t>
      </w:r>
      <w:r w:rsidR="00237BCD">
        <w:t>Gallaher</w:t>
      </w:r>
      <w:r>
        <w:t xml:space="preserve"> is an indirect wholly-owned UK resident subsidiary of JTIH, which holds its interest in </w:t>
      </w:r>
      <w:r w:rsidR="00237BCD">
        <w:t>Gallaher</w:t>
      </w:r>
      <w:r>
        <w:t xml:space="preserve"> through its wholly-owned UK resident subsidiaries JTIUM, GGL, GOHL and B&amp;HL, whilst JTISA is a direct wholly-owned Swiss resident subsidiary of JTIH;</w:t>
      </w:r>
    </w:p>
    <w:p w14:paraId="1EECD286" w14:textId="77777777" w:rsidR="00957D8C" w:rsidRDefault="00957D8C" w:rsidP="00957D8C">
      <w:pPr>
        <w:ind w:left="630"/>
      </w:pPr>
      <w:r>
        <w:t>(f)  JTISA has been based in Geneva since its incorporation in 1999;</w:t>
      </w:r>
    </w:p>
    <w:p w14:paraId="7E552E8D" w14:textId="0907977C" w:rsidR="00957D8C" w:rsidRDefault="00957D8C" w:rsidP="00957D8C">
      <w:pPr>
        <w:ind w:left="630"/>
      </w:pPr>
      <w:r>
        <w:t xml:space="preserve">(g) the 2011 Disposal involved the sale by </w:t>
      </w:r>
      <w:r w:rsidR="00237BCD">
        <w:t>Gallaher</w:t>
      </w:r>
      <w:r>
        <w:t xml:space="preserve"> of the Brands and related assets to JTISA on 1 January 2011;</w:t>
      </w:r>
    </w:p>
    <w:p w14:paraId="24E7C931" w14:textId="4F5441ED" w:rsidR="00957D8C" w:rsidRDefault="00957D8C" w:rsidP="00957D8C">
      <w:pPr>
        <w:ind w:left="630"/>
      </w:pPr>
      <w:r>
        <w:t>(h)  all the Brands continue to be owned by JTISA;</w:t>
      </w:r>
    </w:p>
    <w:p w14:paraId="6B1E1AEA" w14:textId="3F68EA8A" w:rsidR="00957D8C" w:rsidRDefault="00957D8C" w:rsidP="00957D8C">
      <w:pPr>
        <w:ind w:left="630"/>
      </w:pPr>
      <w:r>
        <w:t>(</w:t>
      </w:r>
      <w:proofErr w:type="spellStart"/>
      <w:r>
        <w:t>i</w:t>
      </w:r>
      <w:proofErr w:type="spellEnd"/>
      <w:r>
        <w:t xml:space="preserve">) the consideration received by </w:t>
      </w:r>
      <w:r w:rsidR="00237BCD">
        <w:t>Gallaher</w:t>
      </w:r>
      <w:r>
        <w:t xml:space="preserve"> for the 2011 Disposal was £2,410,316,000 (the </w:t>
      </w:r>
      <w:r w:rsidR="00185948">
        <w:t>“</w:t>
      </w:r>
      <w:r>
        <w:t>Consideration</w:t>
      </w:r>
      <w:r w:rsidR="00185948">
        <w:t>”</w:t>
      </w:r>
      <w:r>
        <w:t>). In respect of the Consideration, on 4 January 2011:</w:t>
      </w:r>
    </w:p>
    <w:p w14:paraId="7CFB7319" w14:textId="77777777" w:rsidR="00957D8C" w:rsidRDefault="00957D8C" w:rsidP="00957D8C">
      <w:pPr>
        <w:ind w:left="1260"/>
      </w:pPr>
      <w:r>
        <w:t>(</w:t>
      </w:r>
      <w:proofErr w:type="spellStart"/>
      <w:r>
        <w:t>i</w:t>
      </w:r>
      <w:proofErr w:type="spellEnd"/>
      <w:r>
        <w:t>)  JTIH made inter-company loans totalling the amount of the Consideration to JTISA;</w:t>
      </w:r>
    </w:p>
    <w:p w14:paraId="557B7C18" w14:textId="7DE91423" w:rsidR="00957D8C" w:rsidRDefault="00957D8C" w:rsidP="00957D8C">
      <w:pPr>
        <w:ind w:left="1260"/>
      </w:pPr>
      <w:r>
        <w:t xml:space="preserve">(ii)  JTISA paid the Consideration to </w:t>
      </w:r>
      <w:r w:rsidR="00237BCD">
        <w:t>Gallaher</w:t>
      </w:r>
      <w:r>
        <w:t>;</w:t>
      </w:r>
    </w:p>
    <w:p w14:paraId="7D5481DA" w14:textId="018A05F8" w:rsidR="00957D8C" w:rsidRDefault="00957D8C" w:rsidP="00957D8C">
      <w:pPr>
        <w:ind w:left="1260"/>
      </w:pPr>
      <w:r>
        <w:t xml:space="preserve">(iii)  </w:t>
      </w:r>
      <w:r w:rsidR="00237BCD">
        <w:t>Gallaher</w:t>
      </w:r>
      <w:r>
        <w:t xml:space="preserve"> paid a dividend </w:t>
      </w:r>
      <w:proofErr w:type="gramStart"/>
      <w:r>
        <w:t>for the amount of</w:t>
      </w:r>
      <w:proofErr w:type="gramEnd"/>
      <w:r>
        <w:t xml:space="preserve"> the Consideration to B&amp;HL, and equivalent dividends for the amount of the Consideration were paid, sequentially, by B&amp;HL to GOHL, by GOHL to GGL and by GGL to JTIUM; and</w:t>
      </w:r>
    </w:p>
    <w:p w14:paraId="2E067FEF" w14:textId="77777777" w:rsidR="00957D8C" w:rsidRDefault="00957D8C" w:rsidP="00957D8C">
      <w:pPr>
        <w:ind w:left="1260"/>
      </w:pPr>
      <w:r>
        <w:t>(iv)  JTIUM paid a dividend in the amount of £1,260,090,000 to JTIH and, separately, repaid the balance of a £1,150,226,000 outstanding inter-company loan to JTIH;</w:t>
      </w:r>
    </w:p>
    <w:p w14:paraId="4A66B17D" w14:textId="77777777" w:rsidR="00957D8C" w:rsidRDefault="00957D8C" w:rsidP="00957D8C">
      <w:pPr>
        <w:ind w:left="630"/>
      </w:pPr>
      <w:r>
        <w:lastRenderedPageBreak/>
        <w:t>(j)  in consequence of the 2011 Disposal, JTISA acquired legal title to the Brands and related assets;</w:t>
      </w:r>
    </w:p>
    <w:p w14:paraId="60B3F50E" w14:textId="36FA9510" w:rsidR="00957D8C" w:rsidRDefault="00957D8C" w:rsidP="00957D8C">
      <w:pPr>
        <w:ind w:left="630"/>
      </w:pPr>
      <w:r>
        <w:t xml:space="preserve">(k) </w:t>
      </w:r>
      <w:proofErr w:type="gramStart"/>
      <w:r>
        <w:t>as a consequence of</w:t>
      </w:r>
      <w:proofErr w:type="gramEnd"/>
      <w:r>
        <w:t xml:space="preserve"> the 2011 Disposal and contemporaneous contractual arrangements agreed between </w:t>
      </w:r>
      <w:r w:rsidR="00237BCD">
        <w:t>Gallaher</w:t>
      </w:r>
      <w:r>
        <w:t xml:space="preserve"> and JTISA, </w:t>
      </w:r>
      <w:r w:rsidR="00237BCD">
        <w:t>Gallaher’s</w:t>
      </w:r>
      <w:r>
        <w:t xml:space="preserve"> role in relation to the Brands was to act as:</w:t>
      </w:r>
    </w:p>
    <w:p w14:paraId="72CD0275" w14:textId="77777777" w:rsidR="00957D8C" w:rsidRDefault="00957D8C" w:rsidP="00957D8C">
      <w:pPr>
        <w:ind w:left="1260"/>
      </w:pPr>
      <w:r>
        <w:t>(</w:t>
      </w:r>
      <w:proofErr w:type="spellStart"/>
      <w:r>
        <w:t>i</w:t>
      </w:r>
      <w:proofErr w:type="spellEnd"/>
      <w:r>
        <w:t>)  a manufacturer in respect of the Brands; and</w:t>
      </w:r>
    </w:p>
    <w:p w14:paraId="3DE443AE" w14:textId="77777777" w:rsidR="00957D8C" w:rsidRDefault="00957D8C" w:rsidP="00957D8C">
      <w:pPr>
        <w:ind w:left="1260"/>
      </w:pPr>
      <w:r>
        <w:t>(ii)  a limited risk distributor of the products bearing the Brands in the UK; and</w:t>
      </w:r>
    </w:p>
    <w:p w14:paraId="790549BE" w14:textId="250E6062" w:rsidR="00957D8C" w:rsidRDefault="00957D8C" w:rsidP="00957D8C">
      <w:pPr>
        <w:ind w:left="630"/>
      </w:pPr>
      <w:r>
        <w:t xml:space="preserve">(l)  following the 2011 Disposal, </w:t>
      </w:r>
      <w:r w:rsidR="00237BCD">
        <w:t>Gallaher</w:t>
      </w:r>
      <w:r>
        <w:t xml:space="preserve"> continued to own the Mayfair brand rights (worldwide rights) and the rights to use certain other brands in Ireland and eastern Europe.</w:t>
      </w:r>
    </w:p>
    <w:p w14:paraId="1C09C61D" w14:textId="05EFE2E9" w:rsidR="00957D8C" w:rsidRDefault="00957D8C" w:rsidP="00957D8C">
      <w:pPr>
        <w:pStyle w:val="Heading2"/>
      </w:pPr>
      <w:r>
        <w:t>The 2014 Disposal</w:t>
      </w:r>
    </w:p>
    <w:p w14:paraId="5AEAEE90" w14:textId="184EA482" w:rsidR="00957D8C" w:rsidRDefault="00957D8C" w:rsidP="00957D8C">
      <w:pPr>
        <w:pStyle w:val="Bodytexttax1"/>
      </w:pPr>
      <w:r>
        <w:t>The parties have agreed that the facts in relation to the 2014 Disposal are as follows:</w:t>
      </w:r>
    </w:p>
    <w:p w14:paraId="01CF03ED" w14:textId="707B5381" w:rsidR="00957D8C" w:rsidRDefault="00957D8C" w:rsidP="00957D8C">
      <w:pPr>
        <w:ind w:left="630"/>
      </w:pPr>
      <w:r>
        <w:t xml:space="preserve">(a)  </w:t>
      </w:r>
      <w:r w:rsidR="00237BCD">
        <w:t>Gallaher</w:t>
      </w:r>
      <w:r>
        <w:t xml:space="preserve"> is a UK resident company and is a member of the JT Group. JT is a publicly-listed company resident in Japan. The JT Group is a global tobacco group and distributes products in 130 countries worldwide. </w:t>
      </w:r>
      <w:r w:rsidR="00237BCD">
        <w:t>Gallaher</w:t>
      </w:r>
      <w:r>
        <w:t xml:space="preserve"> and JT were incorporated in, respectively, England </w:t>
      </w:r>
      <w:r w:rsidR="00A736DC">
        <w:t>and</w:t>
      </w:r>
      <w:r>
        <w:t xml:space="preserve"> Wales and Japan;</w:t>
      </w:r>
    </w:p>
    <w:p w14:paraId="7DD64701" w14:textId="0B3FB8AB" w:rsidR="00957D8C" w:rsidRDefault="00957D8C" w:rsidP="00957D8C">
      <w:pPr>
        <w:ind w:left="630"/>
      </w:pPr>
      <w:r>
        <w:t xml:space="preserve">(b)  </w:t>
      </w:r>
      <w:r w:rsidR="00237BCD">
        <w:t>Gallaher</w:t>
      </w:r>
      <w:r>
        <w:t xml:space="preserve"> became a member of the JT Group in 2007 when the shares in its UK resident parent company, GGL, were acquired by a JT Group UK resident company – that is to say, JTIUM;</w:t>
      </w:r>
    </w:p>
    <w:p w14:paraId="206EDC24" w14:textId="77777777" w:rsidR="00957D8C" w:rsidRDefault="00957D8C" w:rsidP="00957D8C">
      <w:pPr>
        <w:ind w:left="630"/>
      </w:pPr>
      <w:r>
        <w:t>(c)  JTIUM is owned by JTIH, a company resident in the Netherlands. JTIH does not have a permanent establishment within the UK, nor is it within the charge to UK corporation tax;</w:t>
      </w:r>
    </w:p>
    <w:p w14:paraId="58001556" w14:textId="52A5A2B5" w:rsidR="00957D8C" w:rsidRDefault="00957D8C" w:rsidP="00957D8C">
      <w:pPr>
        <w:ind w:left="630"/>
      </w:pPr>
      <w:r>
        <w:t xml:space="preserve">(d)  following a restructuring that took place in 2009 and 2010, B&amp;HL became </w:t>
      </w:r>
      <w:r w:rsidR="00237BCD">
        <w:t>Gallaher</w:t>
      </w:r>
      <w:r>
        <w:t>'s immediate parent company. In turn, GOHL became the immediate parent company of B&amp;HL;</w:t>
      </w:r>
    </w:p>
    <w:p w14:paraId="163F704B" w14:textId="040858BA" w:rsidR="00957D8C" w:rsidRDefault="00957D8C" w:rsidP="00957D8C">
      <w:pPr>
        <w:ind w:left="630"/>
      </w:pPr>
      <w:r>
        <w:t xml:space="preserve">(e)  thus, </w:t>
      </w:r>
      <w:r w:rsidR="00237BCD">
        <w:t>Gallaher</w:t>
      </w:r>
      <w:r>
        <w:t xml:space="preserve"> is an indirect wholly-owned UK resident subsidiary of JTIH, which holds its interest in </w:t>
      </w:r>
      <w:r w:rsidR="00237BCD">
        <w:t>Gallaher</w:t>
      </w:r>
      <w:r>
        <w:t xml:space="preserve"> through its wholly-owned UK resident subsidiaries JTIUM, GGL, GOHL and B&amp;HL;</w:t>
      </w:r>
    </w:p>
    <w:p w14:paraId="1AC39DE1" w14:textId="77BED893" w:rsidR="00957D8C" w:rsidRDefault="00957D8C" w:rsidP="00957D8C">
      <w:pPr>
        <w:ind w:left="630"/>
      </w:pPr>
      <w:r>
        <w:t xml:space="preserve">(f)  on 16 September 2014, </w:t>
      </w:r>
      <w:r w:rsidR="00237BCD">
        <w:t>Gallaher</w:t>
      </w:r>
      <w:r>
        <w:t xml:space="preserve"> sold </w:t>
      </w:r>
      <w:proofErr w:type="gramStart"/>
      <w:r>
        <w:t>all of</w:t>
      </w:r>
      <w:proofErr w:type="gramEnd"/>
      <w:r>
        <w:t xml:space="preserve"> the issued share capital which it held as registered shareholder in one of its subsidiaries, an Isle of Man incorporated company, Galleon, to JTIH;</w:t>
      </w:r>
    </w:p>
    <w:p w14:paraId="5D8C6FCB" w14:textId="734EB3E9" w:rsidR="00957D8C" w:rsidRDefault="00957D8C" w:rsidP="00957D8C">
      <w:pPr>
        <w:ind w:left="630"/>
      </w:pPr>
      <w:r>
        <w:t xml:space="preserve">(g)  at the same time, </w:t>
      </w:r>
      <w:proofErr w:type="spellStart"/>
      <w:r>
        <w:t>Teofani</w:t>
      </w:r>
      <w:proofErr w:type="spellEnd"/>
      <w:r>
        <w:t xml:space="preserve"> Limited (</w:t>
      </w:r>
      <w:r w:rsidR="00185948">
        <w:t>“</w:t>
      </w:r>
      <w:r>
        <w:t>TL</w:t>
      </w:r>
      <w:r w:rsidR="00185948">
        <w:t>”</w:t>
      </w:r>
      <w:r>
        <w:t xml:space="preserve">), which held 0.01% of the issued share capital in Galleon as nominee for </w:t>
      </w:r>
      <w:r w:rsidR="00237BCD">
        <w:t>Gallaher</w:t>
      </w:r>
      <w:r>
        <w:t xml:space="preserve">, also sold its shareholding to </w:t>
      </w:r>
      <w:r>
        <w:lastRenderedPageBreak/>
        <w:t xml:space="preserve">JTIH. </w:t>
      </w:r>
      <w:r w:rsidR="00237BCD">
        <w:t>Gallaher</w:t>
      </w:r>
      <w:r>
        <w:t xml:space="preserve"> received all</w:t>
      </w:r>
      <w:r w:rsidR="00A736DC">
        <w:t xml:space="preserve"> </w:t>
      </w:r>
      <w:r>
        <w:t>the consideration from JTIH in respect of the 2014 Disposal, including in relation to the shares held on its behalf by TL; and</w:t>
      </w:r>
    </w:p>
    <w:p w14:paraId="15DDD74F" w14:textId="463553FD" w:rsidR="00A63CD0" w:rsidRPr="00C729F5" w:rsidRDefault="00957D8C" w:rsidP="00957D8C">
      <w:pPr>
        <w:ind w:left="630"/>
      </w:pPr>
      <w:r>
        <w:t xml:space="preserve">(h) the consideration received by </w:t>
      </w:r>
      <w:r w:rsidR="00237BCD">
        <w:t>Gallaher</w:t>
      </w:r>
      <w:r>
        <w:t xml:space="preserve"> for the 2014 Disposal was £2,089,000. The 2014 Disposal gave rise to a chargeable gain before adjustments of £1,551,000.</w:t>
      </w:r>
    </w:p>
    <w:p w14:paraId="1E342992" w14:textId="68937AB1" w:rsidR="00136817" w:rsidRPr="00EF244E" w:rsidRDefault="001F5F9A" w:rsidP="001F5F9A">
      <w:pPr>
        <w:pStyle w:val="Heading2"/>
      </w:pPr>
      <w:r>
        <w:t>No tax avoidance motive</w:t>
      </w:r>
    </w:p>
    <w:p w14:paraId="01E51A63" w14:textId="37338414" w:rsidR="001F5F9A" w:rsidRDefault="001F5F9A" w:rsidP="00957D8C">
      <w:pPr>
        <w:pStyle w:val="Bodytexttax1"/>
      </w:pPr>
      <w:r>
        <w:t xml:space="preserve">In addition, having reviewed the witness evidence, which was not challenged by HMRC, the FTT found, </w:t>
      </w:r>
      <w:r w:rsidRPr="001F5F9A">
        <w:t>as facts</w:t>
      </w:r>
      <w:r>
        <w:t>,</w:t>
      </w:r>
      <w:r w:rsidRPr="001F5F9A">
        <w:t xml:space="preserve"> that there were good commercial reasons for each </w:t>
      </w:r>
      <w:r>
        <w:t xml:space="preserve">of the 2011 </w:t>
      </w:r>
      <w:r w:rsidRPr="001F5F9A">
        <w:t>Disposal</w:t>
      </w:r>
      <w:r>
        <w:t xml:space="preserve"> and the 2014 Disposal</w:t>
      </w:r>
      <w:r w:rsidRPr="001F5F9A">
        <w:t xml:space="preserve">, that neither </w:t>
      </w:r>
      <w:r>
        <w:t xml:space="preserve">the 2011 </w:t>
      </w:r>
      <w:r w:rsidRPr="001F5F9A">
        <w:t>Disposal</w:t>
      </w:r>
      <w:r>
        <w:t xml:space="preserve"> nor the 2014 </w:t>
      </w:r>
      <w:r w:rsidRPr="001F5F9A">
        <w:t>Disposal formed part of wholly artificial arrangements</w:t>
      </w:r>
      <w:r>
        <w:t>,</w:t>
      </w:r>
      <w:r w:rsidRPr="001F5F9A">
        <w:t xml:space="preserve"> which did not reflect economic reality</w:t>
      </w:r>
      <w:r>
        <w:t>, and</w:t>
      </w:r>
      <w:r w:rsidRPr="001F5F9A">
        <w:t xml:space="preserve"> that neither </w:t>
      </w:r>
      <w:r>
        <w:t xml:space="preserve">the 2011 </w:t>
      </w:r>
      <w:r w:rsidRPr="001F5F9A">
        <w:t>Disposal</w:t>
      </w:r>
      <w:r>
        <w:t xml:space="preserve"> nor the 2014 </w:t>
      </w:r>
      <w:r w:rsidRPr="001F5F9A">
        <w:t>Disposal had the avoidance of tax as its main purpose or one of its main purposes</w:t>
      </w:r>
      <w:r>
        <w:t xml:space="preserve"> (FTT [</w:t>
      </w:r>
      <w:r w:rsidRPr="00DD2F7F">
        <w:t>9</w:t>
      </w:r>
      <w:r>
        <w:t>])</w:t>
      </w:r>
      <w:r w:rsidRPr="001F5F9A">
        <w:t>.</w:t>
      </w:r>
    </w:p>
    <w:p w14:paraId="2CF3C58C" w14:textId="4E93D932" w:rsidR="00532AF9" w:rsidRDefault="00FF62F9" w:rsidP="001F5F9A">
      <w:pPr>
        <w:pStyle w:val="Heading1"/>
      </w:pPr>
      <w:r>
        <w:rPr>
          <w:noProof/>
          <w:lang w:eastAsia="en-GB"/>
        </w:rPr>
        <mc:AlternateContent>
          <mc:Choice Requires="wpi">
            <w:drawing>
              <wp:anchor distT="0" distB="0" distL="114300" distR="114300" simplePos="0" relativeHeight="251660800" behindDoc="0" locked="0" layoutInCell="1" allowOverlap="1" wp14:anchorId="00381C46" wp14:editId="7300A209">
                <wp:simplePos x="0" y="0"/>
                <wp:positionH relativeFrom="column">
                  <wp:posOffset>-2125339</wp:posOffset>
                </wp:positionH>
                <wp:positionV relativeFrom="paragraph">
                  <wp:posOffset>116321</wp:posOffset>
                </wp:positionV>
                <wp:extent cx="281520" cy="476280"/>
                <wp:effectExtent l="57150" t="57150" r="23495" b="57150"/>
                <wp:wrapNone/>
                <wp:docPr id="8"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281305" cy="476250"/>
                      </w14:xfrm>
                    </w14:contentPart>
                  </a:graphicData>
                </a:graphic>
              </wp:anchor>
            </w:drawing>
          </mc:Choice>
          <mc:Fallback xmlns:w16="http://schemas.microsoft.com/office/word/2018/wordml" xmlns:w16cex="http://schemas.microsoft.com/office/word/2018/wordml/cex">
            <w:pict>
              <v:shapetype w14:anchorId="0384BC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68.05pt;margin-top:8.45pt;width:23.55pt;height:38.9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">
                <v:imagedata r:id="rId22" o:title=""/>
              </v:shape>
            </w:pict>
          </mc:Fallback>
        </mc:AlternateContent>
      </w:r>
      <w:r w:rsidR="001F5F9A">
        <w:t>The FTT Decision</w:t>
      </w:r>
    </w:p>
    <w:p w14:paraId="4EA616C3" w14:textId="2C4DC5F1" w:rsidR="00A736DC" w:rsidRDefault="00A736DC" w:rsidP="00957D8C">
      <w:pPr>
        <w:pStyle w:val="Bodytexttax1"/>
      </w:pPr>
      <w:r>
        <w:t>The FTT summarized the questions before it at paragraph [</w:t>
      </w:r>
      <w:r w:rsidRPr="00DD2F7F">
        <w:t>51</w:t>
      </w:r>
      <w:r>
        <w:t>] of its decision in the following terms:</w:t>
      </w:r>
    </w:p>
    <w:p w14:paraId="5A32C594" w14:textId="26F21485" w:rsidR="008B100B" w:rsidRPr="00CB6659" w:rsidRDefault="008D3637" w:rsidP="00CB6659">
      <w:pPr>
        <w:ind w:left="450"/>
        <w:rPr>
          <w:sz w:val="22"/>
          <w:szCs w:val="22"/>
        </w:rPr>
      </w:pPr>
      <w:r>
        <w:rPr>
          <w:sz w:val="22"/>
          <w:szCs w:val="22"/>
        </w:rPr>
        <w:t>“</w:t>
      </w:r>
      <w:r w:rsidR="008B100B" w:rsidRPr="00CB6659">
        <w:rPr>
          <w:sz w:val="22"/>
          <w:szCs w:val="22"/>
        </w:rPr>
        <w:t>(</w:t>
      </w:r>
      <w:proofErr w:type="gramStart"/>
      <w:r w:rsidR="008B100B" w:rsidRPr="00CB6659">
        <w:rPr>
          <w:sz w:val="22"/>
          <w:szCs w:val="22"/>
        </w:rPr>
        <w:t>a)  first</w:t>
      </w:r>
      <w:proofErr w:type="gramEnd"/>
      <w:r w:rsidR="008B100B" w:rsidRPr="00CB6659">
        <w:rPr>
          <w:sz w:val="22"/>
          <w:szCs w:val="22"/>
        </w:rPr>
        <w:t>, which freedoms need to be considered in relation to the application of the Group Transfer Rules to the relevant Disposal? Is it the freedom of establishment set out in Article 49 of the TFEU or the freedom to move capital in Article 63 of the TFEU or both?</w:t>
      </w:r>
    </w:p>
    <w:p w14:paraId="68D29CCC" w14:textId="77777777" w:rsidR="008B100B" w:rsidRPr="00CB6659" w:rsidRDefault="008B100B" w:rsidP="00CB6659">
      <w:pPr>
        <w:ind w:left="450"/>
        <w:rPr>
          <w:sz w:val="22"/>
          <w:szCs w:val="22"/>
        </w:rPr>
      </w:pPr>
      <w:r w:rsidRPr="00CB6659">
        <w:rPr>
          <w:sz w:val="22"/>
          <w:szCs w:val="22"/>
        </w:rPr>
        <w:t xml:space="preserve">(b)  secondly, if one or </w:t>
      </w:r>
      <w:proofErr w:type="gramStart"/>
      <w:r w:rsidRPr="00CB6659">
        <w:rPr>
          <w:sz w:val="22"/>
          <w:szCs w:val="22"/>
        </w:rPr>
        <w:t>both of the freedoms</w:t>
      </w:r>
      <w:proofErr w:type="gramEnd"/>
      <w:r w:rsidRPr="00CB6659">
        <w:rPr>
          <w:sz w:val="22"/>
          <w:szCs w:val="22"/>
        </w:rPr>
        <w:t xml:space="preserve"> needs or need to be considered, do the Group Transfer Rules create a restriction on the relevant freedom or freedoms?</w:t>
      </w:r>
    </w:p>
    <w:p w14:paraId="72D63CBC" w14:textId="77777777" w:rsidR="008B100B" w:rsidRPr="00CB6659" w:rsidRDefault="008B100B" w:rsidP="00CB6659">
      <w:pPr>
        <w:ind w:left="450"/>
        <w:rPr>
          <w:sz w:val="22"/>
          <w:szCs w:val="22"/>
        </w:rPr>
      </w:pPr>
      <w:r w:rsidRPr="00CB6659">
        <w:rPr>
          <w:sz w:val="22"/>
          <w:szCs w:val="22"/>
        </w:rPr>
        <w:t>(c)  thirdly, if the Group Transfer Rules create a restriction on the relevant freedom or freedoms, can that restriction be justified on the basis that the circumstances of the transferee in the particular case are not objectively comparable to those which would have pertained if the transferee had been within the UK tax net?</w:t>
      </w:r>
    </w:p>
    <w:p w14:paraId="1FE4F774" w14:textId="77777777" w:rsidR="008B100B" w:rsidRPr="00CB6659" w:rsidRDefault="008B100B" w:rsidP="00CB6659">
      <w:pPr>
        <w:ind w:left="450"/>
        <w:rPr>
          <w:sz w:val="22"/>
          <w:szCs w:val="22"/>
        </w:rPr>
      </w:pPr>
      <w:r w:rsidRPr="00CB6659">
        <w:rPr>
          <w:sz w:val="22"/>
          <w:szCs w:val="22"/>
        </w:rPr>
        <w:t>(d)  fourthly, if the Group Transfer Rules create a restriction on the relevant freedom or freedoms and the restriction cannot be justified on the basis of the lack of objective comparability, is the relevant restriction justified by overriding reasons in the public interest – namely, the balanced allocation of taxing powers between Member States?</w:t>
      </w:r>
    </w:p>
    <w:p w14:paraId="2DF5DA0F" w14:textId="77777777" w:rsidR="008B100B" w:rsidRPr="00CB6659" w:rsidRDefault="008B100B" w:rsidP="00CB6659">
      <w:pPr>
        <w:ind w:left="450"/>
        <w:rPr>
          <w:sz w:val="22"/>
          <w:szCs w:val="22"/>
        </w:rPr>
      </w:pPr>
      <w:r w:rsidRPr="00CB6659">
        <w:rPr>
          <w:sz w:val="22"/>
          <w:szCs w:val="22"/>
        </w:rPr>
        <w:t>(e)  fifthly, if the relevant restriction on the freedom is justified, is the restriction proportionate – that is to say, does it go beyond what is necessary to achieve the objective of preserving the balanced allocation of taxing powers? and</w:t>
      </w:r>
    </w:p>
    <w:p w14:paraId="0DF821E5" w14:textId="068D1B58" w:rsidR="008B100B" w:rsidRPr="00CB6659" w:rsidRDefault="008B100B" w:rsidP="00CB6659">
      <w:pPr>
        <w:ind w:left="450"/>
        <w:rPr>
          <w:sz w:val="22"/>
          <w:szCs w:val="22"/>
        </w:rPr>
      </w:pPr>
      <w:r w:rsidRPr="00CB6659">
        <w:rPr>
          <w:sz w:val="22"/>
          <w:szCs w:val="22"/>
        </w:rPr>
        <w:t>(f)  sixthly, if the relevant restriction on the freedom is not proportionate, how should the UK courts respond to the disproportionate restriction on the freedom which is created by the legislation? In other words, is it possible for the UK courts to adopt a conforming interpretation of any part of the UK legislation in order to achieve compliance with EU law or should some part of the UK legislation be disapplied, whether in whole or in part, in order to achieve that compliance?</w:t>
      </w:r>
      <w:r w:rsidR="008D3637">
        <w:rPr>
          <w:sz w:val="22"/>
          <w:szCs w:val="22"/>
        </w:rPr>
        <w:t>”</w:t>
      </w:r>
    </w:p>
    <w:p w14:paraId="0950D0EF" w14:textId="4C34A53E" w:rsidR="008D3637" w:rsidRDefault="00A736DC" w:rsidP="00957D8C">
      <w:pPr>
        <w:pStyle w:val="Bodytexttax1"/>
      </w:pPr>
      <w:r>
        <w:lastRenderedPageBreak/>
        <w:t xml:space="preserve"> </w:t>
      </w:r>
      <w:r w:rsidR="008D3637">
        <w:t>There was a further issue which arose in relation to the 2011 Appeal, but not the 2014 Appeal.  This was the question of the value of the Brands at the time of the 2011 Disposal.  This issue, to which the FTT referred as the “Valuation Issue”, was not before the FTT as it had been agreed that the FTT should address the EU law issues as a preliminary issue (FTT [14])</w:t>
      </w:r>
    </w:p>
    <w:p w14:paraId="3122FFB6" w14:textId="3009F6E1" w:rsidR="00CB6659" w:rsidRDefault="00CB6659" w:rsidP="00957D8C">
      <w:pPr>
        <w:pStyle w:val="Bodytexttax1"/>
      </w:pPr>
      <w:r>
        <w:t>The FTT addressed those issues in turn in a reasoned decision.  The decision notice is lengthy, but the FTT provided a summary of its conclusions at paragraph [</w:t>
      </w:r>
      <w:r w:rsidRPr="00DD2F7F">
        <w:t>52</w:t>
      </w:r>
      <w:r>
        <w:t>].</w:t>
      </w:r>
    </w:p>
    <w:p w14:paraId="110FBBAF" w14:textId="2ED7E29D" w:rsidR="00CB6659" w:rsidRPr="00CB6659" w:rsidRDefault="008D3637" w:rsidP="00CB6659">
      <w:pPr>
        <w:ind w:left="450"/>
        <w:rPr>
          <w:sz w:val="22"/>
          <w:szCs w:val="22"/>
        </w:rPr>
      </w:pPr>
      <w:r w:rsidRPr="008D3637">
        <w:rPr>
          <w:sz w:val="22"/>
          <w:szCs w:val="22"/>
        </w:rPr>
        <w:t>“</w:t>
      </w:r>
      <w:r w:rsidR="00CB6659" w:rsidRPr="00CB6659">
        <w:rPr>
          <w:b/>
          <w:bCs/>
          <w:sz w:val="22"/>
          <w:szCs w:val="22"/>
        </w:rPr>
        <w:t>52.</w:t>
      </w:r>
      <w:r w:rsidR="00CB6659" w:rsidRPr="00CB6659">
        <w:rPr>
          <w:sz w:val="22"/>
          <w:szCs w:val="22"/>
        </w:rPr>
        <w:t xml:space="preserve">  In view of the length of this decision, a summary of my conclusions in relation to the above questions in relation to each Appeal is as follows:</w:t>
      </w:r>
    </w:p>
    <w:p w14:paraId="239FE977" w14:textId="77777777" w:rsidR="00CB6659" w:rsidRPr="00CB6659" w:rsidRDefault="00CB6659" w:rsidP="00CB6659">
      <w:pPr>
        <w:ind w:left="450"/>
        <w:rPr>
          <w:sz w:val="22"/>
          <w:szCs w:val="22"/>
        </w:rPr>
      </w:pPr>
      <w:r w:rsidRPr="00CB6659">
        <w:rPr>
          <w:sz w:val="22"/>
          <w:szCs w:val="22"/>
        </w:rPr>
        <w:t>(a)  in relation to the 2014 Appeal:</w:t>
      </w:r>
    </w:p>
    <w:p w14:paraId="48CC393F" w14:textId="77777777" w:rsidR="00CB6659" w:rsidRPr="00CB6659" w:rsidRDefault="00CB6659" w:rsidP="00CB6659">
      <w:pPr>
        <w:ind w:left="450"/>
        <w:rPr>
          <w:sz w:val="22"/>
          <w:szCs w:val="22"/>
        </w:rPr>
      </w:pPr>
      <w:r w:rsidRPr="00CB6659">
        <w:rPr>
          <w:sz w:val="22"/>
          <w:szCs w:val="22"/>
        </w:rPr>
        <w:t>- the fact that the Disposal gave rise to an immediate liability to tax which would not have arisen if JTIH had been within the UK tax net means that the Group Transfer Rules create a restriction on JTIH's freedom of establishment;</w:t>
      </w:r>
    </w:p>
    <w:p w14:paraId="5DBCF682" w14:textId="77777777" w:rsidR="00CB6659" w:rsidRPr="00CB6659" w:rsidRDefault="00CB6659" w:rsidP="00CB6659">
      <w:pPr>
        <w:ind w:left="450"/>
        <w:rPr>
          <w:sz w:val="22"/>
          <w:szCs w:val="22"/>
        </w:rPr>
      </w:pPr>
      <w:r w:rsidRPr="00CB6659">
        <w:rPr>
          <w:sz w:val="22"/>
          <w:szCs w:val="22"/>
        </w:rPr>
        <w:t>- that restriction is not justified on the basis that JTIH is not in an objectively comparable situation to that in which it would have been if it had been within the UK tax net;</w:t>
      </w:r>
    </w:p>
    <w:p w14:paraId="3549C426" w14:textId="77777777" w:rsidR="00CB6659" w:rsidRPr="00CB6659" w:rsidRDefault="00CB6659" w:rsidP="00CB6659">
      <w:pPr>
        <w:ind w:left="450"/>
        <w:rPr>
          <w:sz w:val="22"/>
          <w:szCs w:val="22"/>
        </w:rPr>
      </w:pPr>
      <w:r w:rsidRPr="00CB6659">
        <w:rPr>
          <w:sz w:val="22"/>
          <w:szCs w:val="22"/>
        </w:rPr>
        <w:t>- however, the restriction is justified by reference to overriding reasons in the public interest – namely, the objective of securing the balanced allocation of taxing powers between Member States;</w:t>
      </w:r>
    </w:p>
    <w:p w14:paraId="69F6C75C" w14:textId="77777777" w:rsidR="00CB6659" w:rsidRPr="00CB6659" w:rsidRDefault="00CB6659" w:rsidP="00CB6659">
      <w:pPr>
        <w:ind w:left="450"/>
        <w:rPr>
          <w:sz w:val="22"/>
          <w:szCs w:val="22"/>
        </w:rPr>
      </w:pPr>
      <w:r w:rsidRPr="00CB6659">
        <w:rPr>
          <w:sz w:val="22"/>
          <w:szCs w:val="22"/>
        </w:rPr>
        <w:t>- nevertheless, in requiring the tax in question to be paid immediately, the restriction goes further than is proportionate;</w:t>
      </w:r>
    </w:p>
    <w:p w14:paraId="3B4B014B" w14:textId="77777777" w:rsidR="00CB6659" w:rsidRPr="00CB6659" w:rsidRDefault="00CB6659" w:rsidP="00CB6659">
      <w:pPr>
        <w:ind w:left="450"/>
        <w:rPr>
          <w:sz w:val="22"/>
          <w:szCs w:val="22"/>
        </w:rPr>
      </w:pPr>
      <w:r w:rsidRPr="00CB6659">
        <w:rPr>
          <w:sz w:val="22"/>
          <w:szCs w:val="22"/>
        </w:rPr>
        <w:t>- the restriction would be proportionate if it were to provide for the tax in question to be paid in instalments;</w:t>
      </w:r>
    </w:p>
    <w:p w14:paraId="477D712A" w14:textId="77777777" w:rsidR="00CB6659" w:rsidRPr="00CB6659" w:rsidRDefault="00CB6659" w:rsidP="00CB6659">
      <w:pPr>
        <w:ind w:left="450"/>
        <w:rPr>
          <w:sz w:val="22"/>
          <w:szCs w:val="22"/>
        </w:rPr>
      </w:pPr>
      <w:r w:rsidRPr="00CB6659">
        <w:rPr>
          <w:sz w:val="22"/>
          <w:szCs w:val="22"/>
        </w:rPr>
        <w:t>- however, as there are various possible instalment payment bases which would be proportionate in this context, it is not within the competence of the UK courts to remedy the existing disproportionate restriction by selecting one of those options and applying the doctrine of conforming interpretation to treat the selected option as incorporated in the legislation;</w:t>
      </w:r>
    </w:p>
    <w:p w14:paraId="326B26B5" w14:textId="77777777" w:rsidR="00CB6659" w:rsidRPr="00CB6659" w:rsidRDefault="00CB6659" w:rsidP="00CB6659">
      <w:pPr>
        <w:ind w:left="450"/>
        <w:rPr>
          <w:sz w:val="22"/>
          <w:szCs w:val="22"/>
        </w:rPr>
      </w:pPr>
      <w:r w:rsidRPr="00CB6659">
        <w:rPr>
          <w:sz w:val="22"/>
          <w:szCs w:val="22"/>
        </w:rPr>
        <w:t>- therefore, it is necessary to disapply the existing exclusion from the Group Transfer Rules for intra-group disposals to transferees which are outside the UK tax net in circumstances where that exclusion constitutes a restriction on the freedom of establishment, with the result that Section 171 should apply in those circumstances even though the transferee is not within the UK tax net; and</w:t>
      </w:r>
    </w:p>
    <w:p w14:paraId="53B8CE69" w14:textId="79CE5212" w:rsidR="00CB6659" w:rsidRPr="00CB6659" w:rsidRDefault="00CB6659" w:rsidP="00CB6659">
      <w:pPr>
        <w:ind w:left="450"/>
        <w:rPr>
          <w:sz w:val="22"/>
          <w:szCs w:val="22"/>
        </w:rPr>
      </w:pPr>
      <w:r w:rsidRPr="00CB6659">
        <w:rPr>
          <w:sz w:val="22"/>
          <w:szCs w:val="22"/>
        </w:rPr>
        <w:t xml:space="preserve">- in consequence, the EU Law Issue is determined in favour of </w:t>
      </w:r>
      <w:r w:rsidR="00237BCD">
        <w:rPr>
          <w:sz w:val="22"/>
          <w:szCs w:val="22"/>
        </w:rPr>
        <w:t>Gallaher</w:t>
      </w:r>
      <w:r w:rsidRPr="00CB6659">
        <w:rPr>
          <w:sz w:val="22"/>
          <w:szCs w:val="22"/>
        </w:rPr>
        <w:t xml:space="preserve"> and the 2014 Appeal is upheld; and</w:t>
      </w:r>
    </w:p>
    <w:p w14:paraId="73D3781E" w14:textId="77777777" w:rsidR="00CB6659" w:rsidRPr="00CB6659" w:rsidRDefault="00CB6659" w:rsidP="00CB6659">
      <w:pPr>
        <w:ind w:left="450"/>
        <w:rPr>
          <w:sz w:val="22"/>
          <w:szCs w:val="22"/>
        </w:rPr>
      </w:pPr>
      <w:r w:rsidRPr="00CB6659">
        <w:rPr>
          <w:sz w:val="22"/>
          <w:szCs w:val="22"/>
        </w:rPr>
        <w:t>(b)  in relation to the 2011 Appeal:</w:t>
      </w:r>
    </w:p>
    <w:p w14:paraId="12B41F45" w14:textId="3BE41065" w:rsidR="00CB6659" w:rsidRPr="00CB6659" w:rsidRDefault="00CB6659" w:rsidP="00CB6659">
      <w:pPr>
        <w:ind w:left="450"/>
        <w:rPr>
          <w:sz w:val="22"/>
          <w:szCs w:val="22"/>
        </w:rPr>
      </w:pPr>
      <w:r w:rsidRPr="00CB6659">
        <w:rPr>
          <w:sz w:val="22"/>
          <w:szCs w:val="22"/>
        </w:rPr>
        <w:t xml:space="preserve">- it is not necessary to consider whether the fact that the Disposal gave rise to an immediate liability to tax which would not have arisen if JTISA had been within the UK tax net means that the Group Transfer Rules create a restriction on JTIH's or </w:t>
      </w:r>
      <w:r w:rsidR="00237BCD">
        <w:rPr>
          <w:sz w:val="22"/>
          <w:szCs w:val="22"/>
        </w:rPr>
        <w:t>Gallaher’s</w:t>
      </w:r>
      <w:r w:rsidRPr="00CB6659">
        <w:rPr>
          <w:sz w:val="22"/>
          <w:szCs w:val="22"/>
        </w:rPr>
        <w:t xml:space="preserve"> freedom to move capital;</w:t>
      </w:r>
    </w:p>
    <w:p w14:paraId="23206406" w14:textId="6572D1FB" w:rsidR="00CB6659" w:rsidRPr="00CB6659" w:rsidRDefault="00CB6659" w:rsidP="00CB6659">
      <w:pPr>
        <w:ind w:left="450"/>
        <w:rPr>
          <w:sz w:val="22"/>
          <w:szCs w:val="22"/>
        </w:rPr>
      </w:pPr>
      <w:r w:rsidRPr="00CB6659">
        <w:rPr>
          <w:sz w:val="22"/>
          <w:szCs w:val="22"/>
        </w:rPr>
        <w:lastRenderedPageBreak/>
        <w:t xml:space="preserve">- however, it is necessary to consider whether that fact means that the Group Transfer Rules create a restriction on JTIH's freedom to establish </w:t>
      </w:r>
      <w:r w:rsidR="00237BCD">
        <w:rPr>
          <w:sz w:val="22"/>
          <w:szCs w:val="22"/>
        </w:rPr>
        <w:t>Gallaher</w:t>
      </w:r>
      <w:r w:rsidRPr="00CB6659">
        <w:rPr>
          <w:sz w:val="22"/>
          <w:szCs w:val="22"/>
        </w:rPr>
        <w:t xml:space="preserve"> in the UK;</w:t>
      </w:r>
    </w:p>
    <w:p w14:paraId="2CA9F85F" w14:textId="77777777" w:rsidR="00CB6659" w:rsidRPr="00CB6659" w:rsidRDefault="00CB6659" w:rsidP="00CB6659">
      <w:pPr>
        <w:ind w:left="450"/>
        <w:rPr>
          <w:sz w:val="22"/>
          <w:szCs w:val="22"/>
        </w:rPr>
      </w:pPr>
      <w:r w:rsidRPr="00CB6659">
        <w:rPr>
          <w:sz w:val="22"/>
          <w:szCs w:val="22"/>
        </w:rPr>
        <w:t>- the fact that the Disposal gave rise to an immediate liability to tax which would not have arisen if JTISA had been within the UK tax net does not mean that the Group Transfer Rules create a restriction on JTIH's freedom of establishment in the UK because the same liability would have arisen even if JTIH had been within the UK tax net; and</w:t>
      </w:r>
    </w:p>
    <w:p w14:paraId="72914F63" w14:textId="270542C8" w:rsidR="00CB6659" w:rsidRDefault="00CB6659" w:rsidP="00CB6659">
      <w:pPr>
        <w:ind w:left="450"/>
        <w:rPr>
          <w:sz w:val="22"/>
          <w:szCs w:val="22"/>
        </w:rPr>
      </w:pPr>
      <w:r w:rsidRPr="00CB6659">
        <w:rPr>
          <w:sz w:val="22"/>
          <w:szCs w:val="22"/>
        </w:rPr>
        <w:t>- as a result, the EU Law Issue is determined in favour of the Respondents and therefore the Valuation Issue in the 2011 Appeal needs now to be addressed.</w:t>
      </w:r>
      <w:r w:rsidR="008D3637">
        <w:rPr>
          <w:sz w:val="22"/>
          <w:szCs w:val="22"/>
        </w:rPr>
        <w:t>”</w:t>
      </w:r>
    </w:p>
    <w:p w14:paraId="4AE8BCB6" w14:textId="397AFEB6" w:rsidR="00DE7625" w:rsidRDefault="00DE7625" w:rsidP="00DE7625">
      <w:pPr>
        <w:pStyle w:val="Bodytexttax1"/>
      </w:pPr>
      <w:r>
        <w:t xml:space="preserve">The effect of the FTT’s conclusions was therefore that Gallaher was liable to an immediate charge to tax on gains arising from the 2011 Disposal, but that Gallaher did not suffer an immediate tax charge on gains arising from the 2014 Disposal.  Furthermore, there was no deferred liability on any member of the </w:t>
      </w:r>
      <w:r w:rsidR="005C46EF">
        <w:t>JT Group</w:t>
      </w:r>
      <w:r>
        <w:t xml:space="preserve"> either in the form of a potential liability to tax which would arise on a future disposal of the Galleon shares or on any company ceasing to be member of the group whilst owning the shares, or in the form of an obligation to pay tax in i</w:t>
      </w:r>
      <w:r w:rsidR="00DE4304">
        <w:t>n</w:t>
      </w:r>
      <w:r>
        <w:t xml:space="preserve">stalments. </w:t>
      </w:r>
    </w:p>
    <w:p w14:paraId="19003A0B" w14:textId="3866B3D5" w:rsidR="001F5F9A" w:rsidRDefault="00CB6659" w:rsidP="00957D8C">
      <w:pPr>
        <w:pStyle w:val="Bodytexttax1"/>
      </w:pPr>
      <w:r>
        <w:t xml:space="preserve">  </w:t>
      </w:r>
      <w:r w:rsidR="00685E20">
        <w:t xml:space="preserve">In reaching these conclusions, </w:t>
      </w:r>
      <w:r w:rsidR="004A1C19">
        <w:t>the FTT took the view that, based on the current status of the case law</w:t>
      </w:r>
      <w:r w:rsidR="009D7D07">
        <w:t xml:space="preserve"> of the Court of Justice of the European Union (“CJEU”)</w:t>
      </w:r>
      <w:r w:rsidR="004A1C19">
        <w:t xml:space="preserve">, the application of the relevant provisions of the TFEU in </w:t>
      </w:r>
      <w:r w:rsidR="008D3637">
        <w:t>these appeals</w:t>
      </w:r>
      <w:r w:rsidR="004A1C19">
        <w:t xml:space="preserve"> was clear and that it was neither necessary nor appropriate to refer any of the questions before it to the CJEU (FTT [</w:t>
      </w:r>
      <w:r w:rsidR="004A1C19" w:rsidRPr="00DD2F7F">
        <w:t>338</w:t>
      </w:r>
      <w:r w:rsidR="004A1C19">
        <w:t xml:space="preserve">]). </w:t>
      </w:r>
    </w:p>
    <w:p w14:paraId="25119365" w14:textId="1E3779BB" w:rsidR="004A1C19" w:rsidRDefault="004A1C19" w:rsidP="004A1C19">
      <w:pPr>
        <w:pStyle w:val="Heading1"/>
      </w:pPr>
      <w:r>
        <w:t xml:space="preserve">The </w:t>
      </w:r>
      <w:r w:rsidR="00772598">
        <w:t>grounds of appeal</w:t>
      </w:r>
    </w:p>
    <w:p w14:paraId="78CA91B9" w14:textId="53663E83" w:rsidR="00090273" w:rsidRDefault="006D3F37" w:rsidP="00957D8C">
      <w:pPr>
        <w:pStyle w:val="Bodytexttax1"/>
      </w:pPr>
      <w:r>
        <w:t>Gallaher applied for permission to appeal against the FTT’s decision in the 2011 Appeal</w:t>
      </w:r>
      <w:r w:rsidR="00090273">
        <w:t>.  HMRC applied for permission to appeal against the FTT’s decision in the 2014 Appeal.  The FTT granted permission in each case.</w:t>
      </w:r>
    </w:p>
    <w:p w14:paraId="560AB034" w14:textId="7F796B4D" w:rsidR="00090273" w:rsidRDefault="00090273" w:rsidP="00957D8C">
      <w:pPr>
        <w:pStyle w:val="Bodytexttax1"/>
      </w:pPr>
      <w:r>
        <w:t>Gallaher’s grounds of appeal in the 2011 Appeal</w:t>
      </w:r>
      <w:r w:rsidR="006F3E47">
        <w:t>, as set out in its Notice of Appeal,</w:t>
      </w:r>
      <w:r>
        <w:t xml:space="preserve"> were, in summary, as follows:</w:t>
      </w:r>
    </w:p>
    <w:p w14:paraId="16C478C7" w14:textId="0D096EC6" w:rsidR="00090273" w:rsidRDefault="00090273" w:rsidP="00B86A99">
      <w:pPr>
        <w:pStyle w:val="Bodytexttax2"/>
      </w:pPr>
      <w:r>
        <w:t>the FTT erred in holding that there was no restriction on JTIH’s freedom of establishment under Article 49 TFEU in relation to the 2011 Disposal and</w:t>
      </w:r>
      <w:r w:rsidR="00B86A99">
        <w:t>,</w:t>
      </w:r>
      <w:r>
        <w:t xml:space="preserve"> in particular</w:t>
      </w:r>
      <w:r w:rsidR="00B86A99">
        <w:t>,</w:t>
      </w:r>
      <w:r>
        <w:t xml:space="preserve"> in its analysis of the decision of the CJEU in </w:t>
      </w:r>
      <w:r w:rsidR="00EC6194" w:rsidRPr="00EC6194">
        <w:rPr>
          <w:i/>
          <w:iCs/>
        </w:rPr>
        <w:t>Test Claimants in the Thin Cap Group Litigation</w:t>
      </w:r>
      <w:r w:rsidR="008D3637" w:rsidRPr="008D3637">
        <w:rPr>
          <w:i/>
          <w:iCs/>
        </w:rPr>
        <w:t xml:space="preserve"> v Inland Revenue Commissioners</w:t>
      </w:r>
      <w:r w:rsidR="008D3637">
        <w:t xml:space="preserve"> </w:t>
      </w:r>
      <w:r w:rsidR="00EC6194">
        <w:t>(Case C-524/04)</w:t>
      </w:r>
      <w:r w:rsidR="001E6BD6">
        <w:t xml:space="preserve"> (“</w:t>
      </w:r>
      <w:r w:rsidR="001E6BD6" w:rsidRPr="001E6BD6">
        <w:rPr>
          <w:i/>
          <w:iCs/>
        </w:rPr>
        <w:t>Thin Cap</w:t>
      </w:r>
      <w:r w:rsidR="001E6BD6">
        <w:t>”)</w:t>
      </w:r>
      <w:r>
        <w:t>;</w:t>
      </w:r>
    </w:p>
    <w:p w14:paraId="54CCB232" w14:textId="77777777" w:rsidR="00090273" w:rsidRDefault="00090273" w:rsidP="00B86A99">
      <w:pPr>
        <w:pStyle w:val="Bodytexttax2"/>
      </w:pPr>
      <w:r>
        <w:t>the FTT erred in holding that Gallaher was not entitled to rely on JTIH’s or Gallaher’s freedom to move capital under Article 63 TFEU on the basis that the Group Transfer Rules relate to the treatment of groups of companies and the only freedom which could be considered in that context was the freedom of establishment under Article 49;</w:t>
      </w:r>
    </w:p>
    <w:p w14:paraId="31263EF9" w14:textId="47F915E9" w:rsidR="004A1C19" w:rsidRDefault="00090273" w:rsidP="00B86A99">
      <w:pPr>
        <w:pStyle w:val="Bodytexttax2"/>
      </w:pPr>
      <w:r>
        <w:t xml:space="preserve">to the extent that it was unable to resolve the 2011 Appeal in favour of Gallaher, the FTT </w:t>
      </w:r>
      <w:r w:rsidR="00B86A99">
        <w:t>should have referred the matter to the CJEU for a preliminary ruling</w:t>
      </w:r>
      <w:r w:rsidR="006D3F37">
        <w:t xml:space="preserve">.  </w:t>
      </w:r>
    </w:p>
    <w:p w14:paraId="39CA56E0" w14:textId="0A560345" w:rsidR="00B86A99" w:rsidRDefault="00B86A99" w:rsidP="00B86A99">
      <w:pPr>
        <w:pStyle w:val="Bodytexttax1"/>
      </w:pPr>
      <w:r>
        <w:lastRenderedPageBreak/>
        <w:t>HMRC’s grounds of appeal in the 2014 Appeal</w:t>
      </w:r>
      <w:r w:rsidR="006F3E47">
        <w:t>, as set out in its Notice of Appeal,</w:t>
      </w:r>
      <w:r>
        <w:t xml:space="preserve"> were, in summary, as follows:</w:t>
      </w:r>
    </w:p>
    <w:p w14:paraId="7A953DAB" w14:textId="31062B47" w:rsidR="00B86A99" w:rsidRDefault="008F0AFA" w:rsidP="008F0AFA">
      <w:pPr>
        <w:pStyle w:val="Bodytexttax2"/>
      </w:pPr>
      <w:r>
        <w:t>t</w:t>
      </w:r>
      <w:r w:rsidR="0085417C">
        <w:t>he FTT erred in holding that the Group Transfer Rules created a restriction on JTIH’s freedom of establishment and/or in holding that any such restriction was not justified on the basis that JTIH was not in an objectively comparable situation to that in which it would have been if it had been resident in the UK;</w:t>
      </w:r>
    </w:p>
    <w:p w14:paraId="5583324B" w14:textId="629103C0" w:rsidR="0085417C" w:rsidRDefault="008126AB" w:rsidP="008F0AFA">
      <w:pPr>
        <w:pStyle w:val="Bodytexttax2"/>
      </w:pPr>
      <w:r>
        <w:t>t</w:t>
      </w:r>
      <w:r w:rsidR="0085417C">
        <w:t>he FTT erred in holding that any restriction on JTIH’s freedom of establishment was not justified</w:t>
      </w:r>
      <w:proofErr w:type="gramStart"/>
      <w:r w:rsidR="0085417C">
        <w:t>, in particular, in</w:t>
      </w:r>
      <w:proofErr w:type="gramEnd"/>
      <w:r w:rsidR="0085417C">
        <w:t xml:space="preserve"> holding that the requirement to pay corporation tax</w:t>
      </w:r>
      <w:r w:rsidR="008F0AFA">
        <w:t xml:space="preserve"> immediately on the accrued gain on the Galleon shares at the time of their transfer to JTIH was </w:t>
      </w:r>
      <w:r w:rsidR="00904D94">
        <w:t xml:space="preserve">not </w:t>
      </w:r>
      <w:r w:rsidR="008F0AFA">
        <w:t>proportionate;</w:t>
      </w:r>
    </w:p>
    <w:p w14:paraId="555F7582" w14:textId="3F2DC986" w:rsidR="008F0AFA" w:rsidRDefault="008F0AFA" w:rsidP="008F0AFA">
      <w:pPr>
        <w:pStyle w:val="Bodytexttax2"/>
      </w:pPr>
      <w:r>
        <w:t xml:space="preserve">the FTT erred in holding that it was precluded from applying a conforming </w:t>
      </w:r>
      <w:r w:rsidR="005C46EF">
        <w:t xml:space="preserve">interpretation </w:t>
      </w:r>
      <w:r>
        <w:t>to the legislation</w:t>
      </w:r>
      <w:proofErr w:type="gramStart"/>
      <w:r>
        <w:t>, in particular, a</w:t>
      </w:r>
      <w:proofErr w:type="gramEnd"/>
      <w:r>
        <w:t xml:space="preserve"> conforming </w:t>
      </w:r>
      <w:r w:rsidR="00904D94">
        <w:t>interpretation</w:t>
      </w:r>
      <w:r>
        <w:t xml:space="preserve"> which provide</w:t>
      </w:r>
      <w:r w:rsidR="00D117BB">
        <w:t>s</w:t>
      </w:r>
      <w:r>
        <w:t xml:space="preserve"> an option for the tax to be paid in instalments;</w:t>
      </w:r>
      <w:r w:rsidR="000740C4">
        <w:t xml:space="preserve"> and</w:t>
      </w:r>
    </w:p>
    <w:p w14:paraId="0319FF2F" w14:textId="4AA95247" w:rsidR="008F0AFA" w:rsidRDefault="008F0AFA" w:rsidP="008F0AFA">
      <w:pPr>
        <w:pStyle w:val="Bodytexttax2"/>
      </w:pPr>
      <w:r>
        <w:t xml:space="preserve">the FTT erred in rejecting HMRC’s proposed </w:t>
      </w:r>
      <w:r w:rsidR="00185948">
        <w:t>“</w:t>
      </w:r>
      <w:r>
        <w:t>disapplication</w:t>
      </w:r>
      <w:r w:rsidR="00185948">
        <w:t>”</w:t>
      </w:r>
      <w:r>
        <w:t xml:space="preserve"> of the legislation </w:t>
      </w:r>
      <w:proofErr w:type="gramStart"/>
      <w:r>
        <w:t>so as to</w:t>
      </w:r>
      <w:proofErr w:type="gramEnd"/>
      <w:r>
        <w:t xml:space="preserve"> provide for a deferral of the charge to tax for five years on the grounds that it constituted an amendment of the legi</w:t>
      </w:r>
      <w:r w:rsidR="000740C4">
        <w:t>sla</w:t>
      </w:r>
      <w:r>
        <w:t>tion and not a disapplication in any meaningful sense</w:t>
      </w:r>
      <w:r w:rsidR="000740C4">
        <w:t>.</w:t>
      </w:r>
      <w:r>
        <w:t xml:space="preserve"> </w:t>
      </w:r>
    </w:p>
    <w:p w14:paraId="7278871B" w14:textId="5B8E274E" w:rsidR="000740C4" w:rsidRDefault="00D117BB" w:rsidP="00B86A99">
      <w:pPr>
        <w:pStyle w:val="Bodytexttax1"/>
      </w:pPr>
      <w:r>
        <w:t xml:space="preserve">Before us, </w:t>
      </w:r>
      <w:r w:rsidR="00904D94">
        <w:t xml:space="preserve">in relation to the 2014 Appeal, </w:t>
      </w:r>
      <w:r>
        <w:t>HMRC did not pursue its argument that</w:t>
      </w:r>
      <w:r w:rsidRPr="00D117BB">
        <w:t xml:space="preserve"> </w:t>
      </w:r>
      <w:r>
        <w:t xml:space="preserve">the Group Transfer Rules did not create a restriction on JTIH’s freedom of establishment.  However, all the other issues referred to in the parties’ Notices of Appeal remained in issue. </w:t>
      </w:r>
    </w:p>
    <w:p w14:paraId="67F9116D" w14:textId="00F87B17" w:rsidR="00772598" w:rsidRDefault="00772598" w:rsidP="00772598">
      <w:pPr>
        <w:pStyle w:val="Heading1"/>
      </w:pPr>
      <w:r>
        <w:t>The parties’ submissions</w:t>
      </w:r>
      <w:r w:rsidR="00FC1052">
        <w:t xml:space="preserve"> on the substantive issues</w:t>
      </w:r>
    </w:p>
    <w:p w14:paraId="491C5AD9" w14:textId="69A5305E" w:rsidR="00185948" w:rsidRDefault="00185948" w:rsidP="00185948">
      <w:pPr>
        <w:pStyle w:val="Bodytexttax1"/>
      </w:pPr>
      <w:r>
        <w:t>We have set out</w:t>
      </w:r>
      <w:r w:rsidR="00904D94">
        <w:t>,</w:t>
      </w:r>
      <w:r>
        <w:t xml:space="preserve"> in the following paragraphs</w:t>
      </w:r>
      <w:r w:rsidR="00904D94">
        <w:t>, a summary of</w:t>
      </w:r>
      <w:r>
        <w:t xml:space="preserve"> the parties</w:t>
      </w:r>
      <w:r w:rsidR="00487371">
        <w:t>’</w:t>
      </w:r>
      <w:r>
        <w:t xml:space="preserve"> submissions on the various issues that were before us.  The parties</w:t>
      </w:r>
      <w:r w:rsidR="00487371">
        <w:t>’</w:t>
      </w:r>
      <w:r>
        <w:t xml:space="preserve"> submissions </w:t>
      </w:r>
      <w:r w:rsidR="00DE4304">
        <w:t xml:space="preserve">were lengthy and detailed and </w:t>
      </w:r>
      <w:r>
        <w:t>inevitably focused on matters in greater detail than set out in the</w:t>
      </w:r>
      <w:r w:rsidR="00DE4304">
        <w:t>ir</w:t>
      </w:r>
      <w:r>
        <w:t xml:space="preserve"> grounds of appeal.  </w:t>
      </w:r>
      <w:r w:rsidR="00904D94">
        <w:t xml:space="preserve">Our </w:t>
      </w:r>
      <w:r>
        <w:t xml:space="preserve">summary should not be taken to suggest that we have not </w:t>
      </w:r>
      <w:proofErr w:type="gramStart"/>
      <w:r>
        <w:t>taken into account</w:t>
      </w:r>
      <w:proofErr w:type="gramEnd"/>
      <w:r>
        <w:t xml:space="preserve"> the parties</w:t>
      </w:r>
      <w:r w:rsidR="00487371">
        <w:t>’</w:t>
      </w:r>
      <w:r>
        <w:t xml:space="preserve"> more detailed arguments or other authorities to which we were referred.</w:t>
      </w:r>
    </w:p>
    <w:p w14:paraId="5CB40ECD" w14:textId="338E92ED" w:rsidR="00DE4304" w:rsidRDefault="00DE4304" w:rsidP="00DE4304">
      <w:pPr>
        <w:pStyle w:val="Heading2"/>
      </w:pPr>
      <w:r>
        <w:t>The 2011 Appeal</w:t>
      </w:r>
    </w:p>
    <w:p w14:paraId="5FD60B46" w14:textId="36EFFDB6" w:rsidR="00185948" w:rsidRDefault="00185948" w:rsidP="00185948">
      <w:pPr>
        <w:pStyle w:val="Bodytexttax1"/>
      </w:pPr>
      <w:r>
        <w:t>We will deal first with the issues arising in relation to the 2011 Appeal.</w:t>
      </w:r>
    </w:p>
    <w:p w14:paraId="1A6F80B6" w14:textId="71007EBC" w:rsidR="00DE4304" w:rsidRPr="00DE4304" w:rsidRDefault="00DE4304" w:rsidP="00904D94">
      <w:pPr>
        <w:pStyle w:val="Bodytexttax1"/>
        <w:keepNext/>
        <w:keepLines/>
        <w:numPr>
          <w:ilvl w:val="0"/>
          <w:numId w:val="0"/>
        </w:numPr>
        <w:rPr>
          <w:u w:val="single"/>
        </w:rPr>
      </w:pPr>
      <w:r w:rsidRPr="00DE4304">
        <w:rPr>
          <w:u w:val="single"/>
        </w:rPr>
        <w:lastRenderedPageBreak/>
        <w:t>The interaction of Article 49 and Article 63 TFEU</w:t>
      </w:r>
    </w:p>
    <w:p w14:paraId="317B7178" w14:textId="15BAFCCB" w:rsidR="00185948" w:rsidRDefault="00185948" w:rsidP="00904D94">
      <w:pPr>
        <w:pStyle w:val="Bodytexttax1"/>
        <w:keepNext/>
        <w:keepLines/>
      </w:pPr>
      <w:r>
        <w:t xml:space="preserve">The first question before us in relation to the 2011 Appeal </w:t>
      </w:r>
      <w:r w:rsidR="00487371">
        <w:t>i</w:t>
      </w:r>
      <w:r>
        <w:t>s the question of the interrelationship of the freedom of establishment under Article 49 TFEU and the freedom to move capital under Article 63 TFEU and accordingly whether Gallaher was required to bring its challenge to the operation of the Group Transfer Rules by reference to a particular freedom or could rely on both freedoms in the alternative.</w:t>
      </w:r>
    </w:p>
    <w:p w14:paraId="67BCD7CA" w14:textId="4F07E904" w:rsidR="00185948" w:rsidRDefault="00185948" w:rsidP="00185948">
      <w:pPr>
        <w:pStyle w:val="Bodytexttax1"/>
      </w:pPr>
      <w:r>
        <w:t>On this question Mr Baker, for Gallaher, argue</w:t>
      </w:r>
      <w:r w:rsidR="00EC6194">
        <w:t>s</w:t>
      </w:r>
      <w:r>
        <w:t xml:space="preserve"> that the </w:t>
      </w:r>
      <w:r w:rsidR="00904D94">
        <w:t xml:space="preserve">companies in the </w:t>
      </w:r>
      <w:r>
        <w:t xml:space="preserve">JT </w:t>
      </w:r>
      <w:r w:rsidR="0014749A">
        <w:t>G</w:t>
      </w:r>
      <w:r>
        <w:t xml:space="preserve">roup </w:t>
      </w:r>
      <w:r w:rsidR="00EC6194">
        <w:t>a</w:t>
      </w:r>
      <w:r>
        <w:t xml:space="preserve">re entitled to bring their challenges to the Group Transfer Rules either on the basis of their right to freedom of establishment under Article 49 or on their right to freedom to move capital under Article 63.  </w:t>
      </w:r>
      <w:r w:rsidR="006D0DE8">
        <w:t>Al</w:t>
      </w:r>
      <w:r w:rsidR="00DE4304">
        <w:t>though</w:t>
      </w:r>
      <w:r>
        <w:t>, it might be more common for complainants to rely upon the right to freedom of establishment</w:t>
      </w:r>
      <w:r w:rsidR="006D0DE8" w:rsidRPr="006D0DE8">
        <w:t xml:space="preserve"> </w:t>
      </w:r>
      <w:r w:rsidR="006D0DE8">
        <w:t xml:space="preserve">in the group context, it </w:t>
      </w:r>
      <w:r w:rsidR="00EC6194">
        <w:t>i</w:t>
      </w:r>
      <w:r w:rsidR="006D0DE8">
        <w:t>s</w:t>
      </w:r>
      <w:r w:rsidR="00EC6194">
        <w:t xml:space="preserve"> </w:t>
      </w:r>
      <w:r w:rsidR="006D0DE8">
        <w:t xml:space="preserve">clear from the CJEU case law that Article 63 TFEU </w:t>
      </w:r>
      <w:r w:rsidR="009912FE">
        <w:t>can</w:t>
      </w:r>
      <w:r w:rsidR="006D0DE8">
        <w:t xml:space="preserve"> be relied upon in relation to controlling shareholdings (see for example </w:t>
      </w:r>
      <w:r w:rsidR="006D0DE8" w:rsidRPr="006D0DE8">
        <w:rPr>
          <w:i/>
          <w:iCs/>
        </w:rPr>
        <w:t xml:space="preserve">Kronos International Inc. v </w:t>
      </w:r>
      <w:proofErr w:type="spellStart"/>
      <w:r w:rsidR="006D0DE8" w:rsidRPr="006D0DE8">
        <w:rPr>
          <w:i/>
          <w:iCs/>
        </w:rPr>
        <w:t>Finanzamt</w:t>
      </w:r>
      <w:proofErr w:type="spellEnd"/>
      <w:r w:rsidR="006D0DE8" w:rsidRPr="006D0DE8">
        <w:rPr>
          <w:i/>
          <w:iCs/>
        </w:rPr>
        <w:t xml:space="preserve"> Leverkusen</w:t>
      </w:r>
      <w:r w:rsidR="006D0DE8">
        <w:t xml:space="preserve"> (Case </w:t>
      </w:r>
      <w:r w:rsidR="00EC6194">
        <w:t>C</w:t>
      </w:r>
      <w:r w:rsidR="006D0DE8">
        <w:t>-47/12) (“</w:t>
      </w:r>
      <w:r w:rsidR="006D0DE8" w:rsidRPr="00EC6194">
        <w:rPr>
          <w:i/>
          <w:iCs/>
        </w:rPr>
        <w:t>Kronos</w:t>
      </w:r>
      <w:r w:rsidR="006D0DE8">
        <w:t xml:space="preserve">”) [39] and </w:t>
      </w:r>
      <w:r w:rsidR="006D0DE8" w:rsidRPr="00EC6194">
        <w:rPr>
          <w:i/>
          <w:iCs/>
        </w:rPr>
        <w:t xml:space="preserve">EV v </w:t>
      </w:r>
      <w:proofErr w:type="spellStart"/>
      <w:r w:rsidR="006D0DE8" w:rsidRPr="00EC6194">
        <w:rPr>
          <w:i/>
          <w:iCs/>
        </w:rPr>
        <w:t>Finanzamt</w:t>
      </w:r>
      <w:proofErr w:type="spellEnd"/>
      <w:r w:rsidR="006D0DE8" w:rsidRPr="00EC6194">
        <w:rPr>
          <w:i/>
          <w:iCs/>
        </w:rPr>
        <w:t xml:space="preserve"> Lippstadt</w:t>
      </w:r>
      <w:r w:rsidR="006D0DE8">
        <w:t xml:space="preserve"> (Case </w:t>
      </w:r>
      <w:r w:rsidR="00EC6194">
        <w:t>C</w:t>
      </w:r>
      <w:r w:rsidR="006D0DE8">
        <w:t>-685/16) (“</w:t>
      </w:r>
      <w:r w:rsidR="006D0DE8" w:rsidRPr="00EC6194">
        <w:rPr>
          <w:i/>
          <w:iCs/>
        </w:rPr>
        <w:t>EV</w:t>
      </w:r>
      <w:r w:rsidR="006D0DE8">
        <w:t xml:space="preserve">”) [32] – [42]).  Furthermore, in his submission, </w:t>
      </w:r>
      <w:r>
        <w:t xml:space="preserve">there </w:t>
      </w:r>
      <w:r w:rsidR="009912FE">
        <w:t>i</w:t>
      </w:r>
      <w:r>
        <w:t xml:space="preserve">s nothing </w:t>
      </w:r>
      <w:r w:rsidR="006D0DE8">
        <w:t xml:space="preserve">in the CJEU case law </w:t>
      </w:r>
      <w:r>
        <w:t xml:space="preserve">to preclude a party from bringing a challenge </w:t>
      </w:r>
      <w:r w:rsidR="006D0DE8">
        <w:t xml:space="preserve">to domestic legislation </w:t>
      </w:r>
      <w:r>
        <w:t xml:space="preserve">relying on the freedom to move capital where the freedom of establishment </w:t>
      </w:r>
      <w:r w:rsidR="006D0DE8">
        <w:t>might</w:t>
      </w:r>
      <w:r>
        <w:t xml:space="preserve"> not apply.  </w:t>
      </w:r>
    </w:p>
    <w:p w14:paraId="52AF605C" w14:textId="0FF78581" w:rsidR="00185948" w:rsidRDefault="00487371" w:rsidP="00185948">
      <w:pPr>
        <w:pStyle w:val="Bodytexttax1"/>
      </w:pPr>
      <w:r>
        <w:t>Mr Baker submits further that, e</w:t>
      </w:r>
      <w:r w:rsidR="00904D94">
        <w:t xml:space="preserve">ven if the Tribunal takes the </w:t>
      </w:r>
      <w:r w:rsidR="005C46EF">
        <w:t xml:space="preserve">view </w:t>
      </w:r>
      <w:r w:rsidR="00904D94">
        <w:t>that, in a straightforward case, any challenge to legislation, which applies exclusively to group companies, should be made by reference to Article 49 TFE</w:t>
      </w:r>
      <w:r w:rsidR="005C46EF">
        <w:t>U</w:t>
      </w:r>
      <w:r w:rsidR="00904D94">
        <w:t xml:space="preserve">, </w:t>
      </w:r>
      <w:r w:rsidR="00185948">
        <w:t xml:space="preserve">there </w:t>
      </w:r>
      <w:r w:rsidR="00904D94">
        <w:t xml:space="preserve">were additional factors </w:t>
      </w:r>
      <w:r w:rsidR="005C46EF">
        <w:t xml:space="preserve">in the 2011 Appeal </w:t>
      </w:r>
      <w:r w:rsidR="00904D94">
        <w:t xml:space="preserve">which </w:t>
      </w:r>
      <w:r w:rsidR="005C46EF">
        <w:t xml:space="preserve">militated in favour of allowing </w:t>
      </w:r>
      <w:r w:rsidR="00185948">
        <w:t xml:space="preserve">Article 63 TFEU </w:t>
      </w:r>
      <w:r w:rsidR="005C46EF">
        <w:t>to</w:t>
      </w:r>
      <w:r w:rsidR="00185948">
        <w:t xml:space="preserve"> be relied upon. </w:t>
      </w:r>
    </w:p>
    <w:p w14:paraId="2D108C8E" w14:textId="7DF5EC85" w:rsidR="00185948" w:rsidRDefault="00185948" w:rsidP="00EC6194">
      <w:pPr>
        <w:pStyle w:val="Bodytexttax2"/>
      </w:pPr>
      <w:r>
        <w:t>First</w:t>
      </w:r>
      <w:r w:rsidR="006D0DE8">
        <w:t>,</w:t>
      </w:r>
      <w:r>
        <w:t xml:space="preserve"> th</w:t>
      </w:r>
      <w:r w:rsidR="005C46EF">
        <w:t xml:space="preserve">e 2011 Appeal </w:t>
      </w:r>
      <w:r>
        <w:t>involves two shareholdings</w:t>
      </w:r>
      <w:r w:rsidR="005C46EF">
        <w:t xml:space="preserve"> which are relevant to JTIH’s freedom to move capital</w:t>
      </w:r>
      <w:r>
        <w:t xml:space="preserve">: </w:t>
      </w:r>
      <w:r w:rsidR="005C46EF">
        <w:t>its</w:t>
      </w:r>
      <w:r>
        <w:t xml:space="preserve"> shareholding in Gallaher and </w:t>
      </w:r>
      <w:r w:rsidR="005C46EF">
        <w:t>its</w:t>
      </w:r>
      <w:r>
        <w:t xml:space="preserve"> shareholding in JTISA.  </w:t>
      </w:r>
      <w:r w:rsidR="00487371">
        <w:t>JTIH may have exercised its rights</w:t>
      </w:r>
      <w:r w:rsidR="00326550">
        <w:t xml:space="preserve"> to freedom of establishment</w:t>
      </w:r>
      <w:r w:rsidR="00487371">
        <w:t xml:space="preserve"> under </w:t>
      </w:r>
      <w:r>
        <w:t xml:space="preserve">Article 49 </w:t>
      </w:r>
      <w:r w:rsidR="00487371">
        <w:t>in respect of its shareholding in Gallaher</w:t>
      </w:r>
      <w:r>
        <w:t xml:space="preserve">, </w:t>
      </w:r>
      <w:r w:rsidR="00487371">
        <w:t xml:space="preserve">but it can only have exercised its </w:t>
      </w:r>
      <w:r w:rsidR="00326550">
        <w:t xml:space="preserve">freedom to move capital under </w:t>
      </w:r>
      <w:r>
        <w:t xml:space="preserve">Article 63 in relation to </w:t>
      </w:r>
      <w:r w:rsidR="00326550">
        <w:t>its</w:t>
      </w:r>
      <w:r>
        <w:t xml:space="preserve"> shareholding in JTISA.</w:t>
      </w:r>
      <w:r w:rsidR="00487371" w:rsidRPr="00487371">
        <w:t xml:space="preserve"> </w:t>
      </w:r>
      <w:r w:rsidR="00487371">
        <w:t>There is no authority for the view that only the freedom of establishment can be engaged in such circumstances.</w:t>
      </w:r>
    </w:p>
    <w:p w14:paraId="6EECE2F9" w14:textId="5643C093" w:rsidR="00185948" w:rsidRDefault="00185948" w:rsidP="00EC6194">
      <w:pPr>
        <w:pStyle w:val="Bodytexttax2"/>
      </w:pPr>
      <w:r>
        <w:t>Second, Gallaher</w:t>
      </w:r>
      <w:r w:rsidR="00904D94">
        <w:t>’</w:t>
      </w:r>
      <w:r>
        <w:t xml:space="preserve">s case is that there is </w:t>
      </w:r>
      <w:r w:rsidR="001E4E58">
        <w:t xml:space="preserve">also </w:t>
      </w:r>
      <w:r>
        <w:t>a restriction on Gallaher</w:t>
      </w:r>
      <w:r w:rsidR="005C46EF">
        <w:t>’</w:t>
      </w:r>
      <w:r>
        <w:t xml:space="preserve">s freedom to move capital in the form of the transfer of the </w:t>
      </w:r>
      <w:r w:rsidR="001E4E58">
        <w:t>B</w:t>
      </w:r>
      <w:r>
        <w:t xml:space="preserve">rands </w:t>
      </w:r>
      <w:r w:rsidR="0095393F">
        <w:t xml:space="preserve">and related assets </w:t>
      </w:r>
      <w:r>
        <w:t xml:space="preserve">to JTISA.  </w:t>
      </w:r>
      <w:r w:rsidR="00EC6194">
        <w:t xml:space="preserve">JTISA and Gallaher are sister companies and so </w:t>
      </w:r>
      <w:r>
        <w:t xml:space="preserve">Gallaher is not </w:t>
      </w:r>
      <w:proofErr w:type="gramStart"/>
      <w:r>
        <w:t>in a position</w:t>
      </w:r>
      <w:proofErr w:type="gramEnd"/>
      <w:r>
        <w:t xml:space="preserve"> to exercise </w:t>
      </w:r>
      <w:r w:rsidR="00EC6194">
        <w:t>its</w:t>
      </w:r>
      <w:r>
        <w:t xml:space="preserve"> freedom of establishment in relation to JTISA.  </w:t>
      </w:r>
    </w:p>
    <w:p w14:paraId="232F162E" w14:textId="3C2ED1A0" w:rsidR="00185948" w:rsidRDefault="00185948" w:rsidP="00185948">
      <w:pPr>
        <w:pStyle w:val="Bodytexttax1"/>
      </w:pPr>
      <w:r>
        <w:t>Mr Baldry, for HMRC submits that the FTT correctly decided that, in the context of legislation which applies exclusively to group companies, the only treaty freedom which is engaged is the freedom of establishment under Article 49 TFEU</w:t>
      </w:r>
      <w:r w:rsidR="0047306B">
        <w:t xml:space="preserve"> (FTT [</w:t>
      </w:r>
      <w:r w:rsidR="0047306B" w:rsidRPr="00DD2F7F">
        <w:t>54</w:t>
      </w:r>
      <w:r w:rsidR="0047306B">
        <w:t>]-[</w:t>
      </w:r>
      <w:r w:rsidR="0047306B" w:rsidRPr="00DD2F7F">
        <w:t>67], [239]-[241</w:t>
      </w:r>
      <w:r w:rsidR="0047306B">
        <w:t>])</w:t>
      </w:r>
      <w:r>
        <w:t xml:space="preserve">.  He says </w:t>
      </w:r>
      <w:r w:rsidR="009912FE">
        <w:t xml:space="preserve">that </w:t>
      </w:r>
      <w:r>
        <w:t xml:space="preserve">the CJEU case law is clear </w:t>
      </w:r>
      <w:r w:rsidR="00EC6194">
        <w:t>that i</w:t>
      </w:r>
      <w:r>
        <w:t>t is the nature of the legislation at issue in the proceedings which determines which freedom applies.  Domestic legislation which is intended to apply only to shareholdings which enable the holder to exert a definite influence on a company</w:t>
      </w:r>
      <w:r w:rsidR="00904D94">
        <w:t>’</w:t>
      </w:r>
      <w:r>
        <w:t xml:space="preserve">s decision </w:t>
      </w:r>
      <w:r w:rsidR="00EC6194">
        <w:t xml:space="preserve">making </w:t>
      </w:r>
      <w:r>
        <w:t xml:space="preserve">and to determine its activities falls </w:t>
      </w:r>
      <w:r w:rsidR="00EC6194">
        <w:t xml:space="preserve">exclusively </w:t>
      </w:r>
      <w:r>
        <w:t xml:space="preserve">within the scope of Article 49 TFEU on freedom of establishment.  Domestic legislation which applies to shareholdings acquired solely with the intention of making financial investments without any intention to influence </w:t>
      </w:r>
      <w:r>
        <w:lastRenderedPageBreak/>
        <w:t>the management and control of the company should be examined exclusively in the light of the freedom of movement of capital and Article 63 TFEU (</w:t>
      </w:r>
      <w:r w:rsidRPr="00EC6194">
        <w:rPr>
          <w:i/>
          <w:iCs/>
        </w:rPr>
        <w:t>FII Group Test Claimants v Revenue &amp; Customs Commissioners (N</w:t>
      </w:r>
      <w:r w:rsidR="00EC6194">
        <w:rPr>
          <w:i/>
          <w:iCs/>
        </w:rPr>
        <w:t>o.3</w:t>
      </w:r>
      <w:r w:rsidRPr="00EC6194">
        <w:rPr>
          <w:i/>
          <w:iCs/>
        </w:rPr>
        <w:t>)</w:t>
      </w:r>
      <w:r>
        <w:t xml:space="preserve"> (Case </w:t>
      </w:r>
      <w:r w:rsidR="00EC6194">
        <w:t>C</w:t>
      </w:r>
      <w:r>
        <w:t xml:space="preserve">-35/11) [91] [92], </w:t>
      </w:r>
      <w:r w:rsidRPr="00EC6194">
        <w:rPr>
          <w:i/>
          <w:iCs/>
        </w:rPr>
        <w:t>Thin Cap</w:t>
      </w:r>
      <w:r>
        <w:t xml:space="preserve"> [33]</w:t>
      </w:r>
      <w:r w:rsidR="00EF24F0">
        <w:t>,</w:t>
      </w:r>
      <w:r>
        <w:t xml:space="preserve"> [34]</w:t>
      </w:r>
      <w:r w:rsidR="00EF24F0">
        <w:t xml:space="preserve"> and [101]</w:t>
      </w:r>
      <w:r w:rsidR="00EC6194">
        <w:t>)</w:t>
      </w:r>
      <w:r>
        <w:t>.  In the present case, the Group Transfer Rules appl</w:t>
      </w:r>
      <w:r w:rsidR="009912FE">
        <w:t>y</w:t>
      </w:r>
      <w:r>
        <w:t xml:space="preserve"> exclusively to companies within groups.  It follows that only the freedom of establishment in Article 49 TFEU is engaged.</w:t>
      </w:r>
    </w:p>
    <w:p w14:paraId="4836C4A5" w14:textId="5044B4C0" w:rsidR="001E6BD6" w:rsidRPr="00D46875" w:rsidRDefault="00D46875" w:rsidP="001E6BD6">
      <w:pPr>
        <w:pStyle w:val="Bodytexttax1"/>
        <w:numPr>
          <w:ilvl w:val="0"/>
          <w:numId w:val="0"/>
        </w:numPr>
        <w:rPr>
          <w:u w:val="single"/>
        </w:rPr>
      </w:pPr>
      <w:r w:rsidRPr="00D46875">
        <w:rPr>
          <w:u w:val="single"/>
        </w:rPr>
        <w:t xml:space="preserve">Do the Group Transfer Rules represent a restriction on JTIH’s freedom of establishment? </w:t>
      </w:r>
      <w:r w:rsidR="001E6BD6" w:rsidRPr="00D46875">
        <w:rPr>
          <w:u w:val="single"/>
        </w:rPr>
        <w:t xml:space="preserve"> </w:t>
      </w:r>
    </w:p>
    <w:p w14:paraId="278E8EDA" w14:textId="3114A176" w:rsidR="00772598" w:rsidRDefault="00255D5E" w:rsidP="00185948">
      <w:pPr>
        <w:pStyle w:val="Bodytexttax1"/>
      </w:pPr>
      <w:r>
        <w:t xml:space="preserve">Mr Baker says that the relevant exercise of the freedom of establishment in this context is JTIH’s acquisition of the shares in Gallaher.  The immediate tax charge on the transfer of the </w:t>
      </w:r>
      <w:r w:rsidR="000C032A">
        <w:t>B</w:t>
      </w:r>
      <w:r>
        <w:t>rands</w:t>
      </w:r>
      <w:r w:rsidR="000C032A">
        <w:t xml:space="preserve"> and related assets</w:t>
      </w:r>
      <w:r>
        <w:t xml:space="preserve"> by Gallaher to JTISA represented a restriction on that freedom because it was likely to render </w:t>
      </w:r>
      <w:r w:rsidR="00772598">
        <w:t xml:space="preserve">the exercise of that freedom </w:t>
      </w:r>
      <w:r>
        <w:t xml:space="preserve">less attractive.  The correct comparison for this purpose was with a wholly domestic situation, that is a transfer </w:t>
      </w:r>
      <w:r w:rsidR="001E4E58">
        <w:t xml:space="preserve">of an asset </w:t>
      </w:r>
      <w:r>
        <w:t xml:space="preserve">by </w:t>
      </w:r>
      <w:r w:rsidR="005C46EF">
        <w:t xml:space="preserve">a </w:t>
      </w:r>
      <w:r w:rsidR="00772598">
        <w:t xml:space="preserve">UK resident subsidiary of a UK resident parent company </w:t>
      </w:r>
      <w:r>
        <w:t xml:space="preserve">to a sister company which is </w:t>
      </w:r>
      <w:r w:rsidR="00772598">
        <w:t xml:space="preserve">also </w:t>
      </w:r>
      <w:r>
        <w:t>resident in the UK (</w:t>
      </w:r>
      <w:r w:rsidRPr="00772598">
        <w:rPr>
          <w:i/>
          <w:iCs/>
        </w:rPr>
        <w:t xml:space="preserve">Société Papillon v </w:t>
      </w:r>
      <w:proofErr w:type="spellStart"/>
      <w:r w:rsidRPr="00772598">
        <w:rPr>
          <w:i/>
          <w:iCs/>
        </w:rPr>
        <w:t>Ministère</w:t>
      </w:r>
      <w:proofErr w:type="spellEnd"/>
      <w:r w:rsidRPr="00772598">
        <w:rPr>
          <w:i/>
          <w:iCs/>
        </w:rPr>
        <w:t xml:space="preserve"> du Budget, des </w:t>
      </w:r>
      <w:proofErr w:type="spellStart"/>
      <w:r w:rsidRPr="00772598">
        <w:rPr>
          <w:i/>
          <w:iCs/>
        </w:rPr>
        <w:t>Comptes</w:t>
      </w:r>
      <w:proofErr w:type="spellEnd"/>
      <w:r w:rsidRPr="00772598">
        <w:rPr>
          <w:i/>
          <w:iCs/>
        </w:rPr>
        <w:t xml:space="preserve"> Publics et de la </w:t>
      </w:r>
      <w:proofErr w:type="spellStart"/>
      <w:r w:rsidRPr="00772598">
        <w:rPr>
          <w:i/>
          <w:iCs/>
        </w:rPr>
        <w:t>Fonction</w:t>
      </w:r>
      <w:proofErr w:type="spellEnd"/>
      <w:r w:rsidRPr="00772598">
        <w:rPr>
          <w:i/>
          <w:iCs/>
        </w:rPr>
        <w:t xml:space="preserve"> </w:t>
      </w:r>
      <w:proofErr w:type="spellStart"/>
      <w:r w:rsidRPr="00772598">
        <w:rPr>
          <w:i/>
          <w:iCs/>
        </w:rPr>
        <w:t>Publique</w:t>
      </w:r>
      <w:proofErr w:type="spellEnd"/>
      <w:r w:rsidRPr="00772598">
        <w:rPr>
          <w:i/>
          <w:iCs/>
        </w:rPr>
        <w:t xml:space="preserve"> </w:t>
      </w:r>
      <w:r>
        <w:t xml:space="preserve">(Case C-418/07) </w:t>
      </w:r>
      <w:r w:rsidR="00772598">
        <w:t>(“</w:t>
      </w:r>
      <w:r w:rsidR="00772598" w:rsidRPr="00772598">
        <w:rPr>
          <w:i/>
          <w:iCs/>
        </w:rPr>
        <w:t>Papillon</w:t>
      </w:r>
      <w:r w:rsidR="00772598">
        <w:t xml:space="preserve">”) </w:t>
      </w:r>
      <w:r>
        <w:t>[27] and [32]).  In this scenario, no immediate tax charge would have arisen</w:t>
      </w:r>
      <w:r w:rsidR="001E4E58">
        <w:t xml:space="preserve"> as the Group Transfer Rules would have applied</w:t>
      </w:r>
      <w:r>
        <w:t xml:space="preserve">.  </w:t>
      </w:r>
    </w:p>
    <w:p w14:paraId="60D7E28C" w14:textId="01B6898D" w:rsidR="001E6BD6" w:rsidRDefault="00526DA2" w:rsidP="00185948">
      <w:pPr>
        <w:pStyle w:val="Bodytexttax1"/>
      </w:pPr>
      <w:r>
        <w:t>Mr Baker submits that i</w:t>
      </w:r>
      <w:r w:rsidR="00255D5E">
        <w:t>t is no answer to this point</w:t>
      </w:r>
      <w:r w:rsidR="00C61AAC">
        <w:t xml:space="preserve"> that a UK </w:t>
      </w:r>
      <w:r w:rsidR="00772598">
        <w:t xml:space="preserve">resident </w:t>
      </w:r>
      <w:r w:rsidR="00C61AAC">
        <w:t xml:space="preserve">subsidiary of a UK </w:t>
      </w:r>
      <w:r w:rsidR="00772598">
        <w:t xml:space="preserve">resident </w:t>
      </w:r>
      <w:r w:rsidR="00C61AAC">
        <w:t xml:space="preserve">parent company would have suffered the same tax charge on the transfer of the </w:t>
      </w:r>
      <w:r w:rsidR="005C46EF">
        <w:t>B</w:t>
      </w:r>
      <w:r w:rsidR="00C61AAC">
        <w:t xml:space="preserve">rands </w:t>
      </w:r>
      <w:r w:rsidR="000C032A">
        <w:t xml:space="preserve">and related assets </w:t>
      </w:r>
      <w:r w:rsidR="00C61AAC">
        <w:t xml:space="preserve">to a Swiss </w:t>
      </w:r>
      <w:r w:rsidR="00772598">
        <w:t xml:space="preserve">resident </w:t>
      </w:r>
      <w:r w:rsidR="00C61AAC">
        <w:t xml:space="preserve">company.  It is acknowledged </w:t>
      </w:r>
      <w:r w:rsidR="00772598">
        <w:t xml:space="preserve">that a company which is exercising a treaty freedom may as a result be put </w:t>
      </w:r>
      <w:r w:rsidR="00C61AAC">
        <w:t>in a potentially better position than an entirely domestic group (</w:t>
      </w:r>
      <w:r w:rsidR="00C61AAC" w:rsidRPr="00210512">
        <w:rPr>
          <w:i/>
          <w:iCs/>
        </w:rPr>
        <w:t>Caixa</w:t>
      </w:r>
      <w:r w:rsidR="00210512" w:rsidRPr="00210512">
        <w:rPr>
          <w:i/>
          <w:iCs/>
        </w:rPr>
        <w:t>-</w:t>
      </w:r>
      <w:r w:rsidR="00C61AAC" w:rsidRPr="00210512">
        <w:rPr>
          <w:i/>
          <w:iCs/>
        </w:rPr>
        <w:t>Bank</w:t>
      </w:r>
      <w:r w:rsidR="00210512" w:rsidRPr="00210512">
        <w:rPr>
          <w:i/>
          <w:iCs/>
        </w:rPr>
        <w:t xml:space="preserve"> France v </w:t>
      </w:r>
      <w:proofErr w:type="spellStart"/>
      <w:r w:rsidR="004923B4" w:rsidRPr="00772598">
        <w:rPr>
          <w:i/>
          <w:iCs/>
        </w:rPr>
        <w:t>Ministère</w:t>
      </w:r>
      <w:proofErr w:type="spellEnd"/>
      <w:r w:rsidR="004923B4" w:rsidRPr="00210512">
        <w:rPr>
          <w:i/>
          <w:iCs/>
        </w:rPr>
        <w:t xml:space="preserve"> </w:t>
      </w:r>
      <w:r w:rsidR="00210512" w:rsidRPr="00210512">
        <w:rPr>
          <w:i/>
          <w:iCs/>
        </w:rPr>
        <w:t xml:space="preserve">de </w:t>
      </w:r>
      <w:proofErr w:type="spellStart"/>
      <w:r w:rsidR="00210512" w:rsidRPr="00210512">
        <w:rPr>
          <w:i/>
          <w:iCs/>
        </w:rPr>
        <w:t>l’Economie</w:t>
      </w:r>
      <w:proofErr w:type="spellEnd"/>
      <w:r w:rsidR="00210512" w:rsidRPr="00210512">
        <w:rPr>
          <w:i/>
          <w:iCs/>
        </w:rPr>
        <w:t xml:space="preserve">, des Finances et de </w:t>
      </w:r>
      <w:proofErr w:type="spellStart"/>
      <w:r w:rsidR="00210512" w:rsidRPr="00210512">
        <w:rPr>
          <w:i/>
          <w:iCs/>
        </w:rPr>
        <w:t>l’Industrie</w:t>
      </w:r>
      <w:proofErr w:type="spellEnd"/>
      <w:r w:rsidR="00210512">
        <w:t xml:space="preserve"> (Case C-442/02) (“</w:t>
      </w:r>
      <w:r w:rsidR="00210512" w:rsidRPr="00210512">
        <w:rPr>
          <w:i/>
          <w:iCs/>
        </w:rPr>
        <w:t>Caixa-Bank</w:t>
      </w:r>
      <w:r w:rsidR="00210512">
        <w:t>”)</w:t>
      </w:r>
      <w:r w:rsidR="00C61AAC">
        <w:t>).</w:t>
      </w:r>
    </w:p>
    <w:p w14:paraId="55DACAF5" w14:textId="19C91089" w:rsidR="00C61AAC" w:rsidRDefault="00C61AAC" w:rsidP="00185948">
      <w:pPr>
        <w:pStyle w:val="Bodytexttax1"/>
      </w:pPr>
      <w:r>
        <w:t xml:space="preserve">Mr Baker criticised the FTT’s analysis of the decision of the CJEU in </w:t>
      </w:r>
      <w:r w:rsidRPr="00C61AAC">
        <w:rPr>
          <w:i/>
        </w:rPr>
        <w:t>Thin Cap</w:t>
      </w:r>
      <w:r>
        <w:t xml:space="preserve">.  </w:t>
      </w:r>
      <w:r w:rsidR="00772598">
        <w:t>T</w:t>
      </w:r>
      <w:r>
        <w:t>he CJEU decided in that case that an EU parent company’s freedom of establishment was restricted by limitations on the deductibility of interest not only on loans which were made by the EU parent company to a UK subsidiary</w:t>
      </w:r>
      <w:r w:rsidR="005C46EF">
        <w:t>,</w:t>
      </w:r>
      <w:r>
        <w:t xml:space="preserve"> but also on loans made by another subsidiary of the EU parent, </w:t>
      </w:r>
      <w:r w:rsidR="00EF24F0">
        <w:t xml:space="preserve">irrespective of where it </w:t>
      </w:r>
      <w:r w:rsidR="00326550">
        <w:t>wa</w:t>
      </w:r>
      <w:r w:rsidR="00EF24F0">
        <w:t>s</w:t>
      </w:r>
      <w:r>
        <w:t xml:space="preserve"> resident, to a UK subsidiary of the EU parent company (</w:t>
      </w:r>
      <w:r w:rsidRPr="00C61AAC">
        <w:rPr>
          <w:i/>
        </w:rPr>
        <w:t>Thin Cap</w:t>
      </w:r>
      <w:r>
        <w:t xml:space="preserve"> [</w:t>
      </w:r>
      <w:r w:rsidR="00EF24F0">
        <w:t>95</w:t>
      </w:r>
      <w:r>
        <w:t xml:space="preserve">]).  The </w:t>
      </w:r>
      <w:r w:rsidRPr="00C61AAC">
        <w:rPr>
          <w:i/>
        </w:rPr>
        <w:t>Thin Cap</w:t>
      </w:r>
      <w:r>
        <w:t xml:space="preserve"> case demonstrated, by analogy, that the </w:t>
      </w:r>
      <w:r w:rsidR="00DC3B93">
        <w:t>G</w:t>
      </w:r>
      <w:r>
        <w:t xml:space="preserve">roup </w:t>
      </w:r>
      <w:r w:rsidR="00DC3B93">
        <w:t>T</w:t>
      </w:r>
      <w:r>
        <w:t xml:space="preserve">ransfer </w:t>
      </w:r>
      <w:r w:rsidR="00DC3B93">
        <w:t>R</w:t>
      </w:r>
      <w:r>
        <w:t xml:space="preserve">ules did place a restriction on JTIH’s freedom of establishment in this case. </w:t>
      </w:r>
    </w:p>
    <w:p w14:paraId="68B86028" w14:textId="18FAC42F" w:rsidR="001E4E58" w:rsidRDefault="00C61AAC" w:rsidP="00185948">
      <w:pPr>
        <w:pStyle w:val="Bodytexttax1"/>
      </w:pPr>
      <w:r>
        <w:t>Mr Baldry says that Article 49 is concerned with differential treatment under domestic law based on nationality.  It is JTIH’s nationality that matters</w:t>
      </w:r>
      <w:r w:rsidR="00326550">
        <w:t xml:space="preserve">.  </w:t>
      </w:r>
      <w:r>
        <w:t xml:space="preserve">The correct comparison is whether the </w:t>
      </w:r>
      <w:r w:rsidR="001E4E58">
        <w:t xml:space="preserve">UK resident </w:t>
      </w:r>
      <w:r>
        <w:t>subsidiary of JTIH, Gallaher, is treated differently by reason of the nationality of its parent</w:t>
      </w:r>
      <w:r w:rsidR="001E4E58">
        <w:t>,</w:t>
      </w:r>
      <w:r>
        <w:t xml:space="preserve"> JTIH</w:t>
      </w:r>
      <w:r w:rsidR="001E4E58">
        <w:t>,</w:t>
      </w:r>
      <w:r>
        <w:t xml:space="preserve"> or whether the </w:t>
      </w:r>
      <w:r w:rsidR="001E4E58">
        <w:t xml:space="preserve">non-UK resident </w:t>
      </w:r>
      <w:r>
        <w:t xml:space="preserve">parent is treated differently because of the nationality of its </w:t>
      </w:r>
      <w:r w:rsidR="001E4E58">
        <w:t xml:space="preserve">UK resident </w:t>
      </w:r>
      <w:r>
        <w:t xml:space="preserve">subsidiary.  This is the test that the CJEU applies in </w:t>
      </w:r>
      <w:r w:rsidRPr="00C61AAC">
        <w:rPr>
          <w:i/>
        </w:rPr>
        <w:t>Thin Cap</w:t>
      </w:r>
      <w:r>
        <w:t xml:space="preserve"> (</w:t>
      </w:r>
      <w:r w:rsidR="00326550">
        <w:t>at</w:t>
      </w:r>
      <w:r>
        <w:t xml:space="preserve"> [94]</w:t>
      </w:r>
      <w:r w:rsidR="00326550">
        <w:t>,</w:t>
      </w:r>
      <w:r>
        <w:t xml:space="preserve"> [95]).  </w:t>
      </w:r>
    </w:p>
    <w:p w14:paraId="59CB2823" w14:textId="79FD8985" w:rsidR="00C61AAC" w:rsidRDefault="00E10DA9" w:rsidP="00185948">
      <w:pPr>
        <w:pStyle w:val="Bodytexttax1"/>
      </w:pPr>
      <w:r>
        <w:t>Mr Baldry submits that t</w:t>
      </w:r>
      <w:r w:rsidR="00210512">
        <w:t xml:space="preserve">he </w:t>
      </w:r>
      <w:r w:rsidR="003561BE">
        <w:t xml:space="preserve">2011 </w:t>
      </w:r>
      <w:r w:rsidR="00210512">
        <w:t>D</w:t>
      </w:r>
      <w:r w:rsidR="003561BE">
        <w:t>isposal</w:t>
      </w:r>
      <w:r w:rsidR="00210512">
        <w:t xml:space="preserve"> does not involve a </w:t>
      </w:r>
      <w:r w:rsidR="003561BE">
        <w:t>restriction on JTIH’s freedom of establishment.  Gallaher would have incurred an immediate tax charge on the disposal of the</w:t>
      </w:r>
      <w:r w:rsidR="001E4E58">
        <w:t xml:space="preserve"> B</w:t>
      </w:r>
      <w:r w:rsidR="003561BE">
        <w:t>rands to JTISA, a Swiss company, irrespective of whether its parent company</w:t>
      </w:r>
      <w:r w:rsidR="001E4E58">
        <w:t>, JTIH,</w:t>
      </w:r>
      <w:r w:rsidR="003561BE">
        <w:t xml:space="preserve"> was resident in the UK or in the Netherlands.</w:t>
      </w:r>
    </w:p>
    <w:p w14:paraId="23069E84" w14:textId="7735124E" w:rsidR="003561BE" w:rsidRDefault="003561BE" w:rsidP="00185948">
      <w:pPr>
        <w:pStyle w:val="Bodytexttax1"/>
      </w:pPr>
      <w:r>
        <w:lastRenderedPageBreak/>
        <w:t xml:space="preserve">Mr Baldry dismisses the reference to </w:t>
      </w:r>
      <w:r w:rsidRPr="00210512">
        <w:rPr>
          <w:i/>
          <w:iCs/>
        </w:rPr>
        <w:t>Caixa</w:t>
      </w:r>
      <w:r w:rsidR="00210512">
        <w:rPr>
          <w:i/>
          <w:iCs/>
        </w:rPr>
        <w:t>-</w:t>
      </w:r>
      <w:r w:rsidRPr="00210512">
        <w:rPr>
          <w:i/>
          <w:iCs/>
        </w:rPr>
        <w:t>Bank</w:t>
      </w:r>
      <w:r>
        <w:t>.  He says that it is an entirely different context and not relevant in this case.</w:t>
      </w:r>
    </w:p>
    <w:p w14:paraId="4F79C10A" w14:textId="7FC2391D" w:rsidR="003561BE" w:rsidRPr="00772598" w:rsidRDefault="003561BE" w:rsidP="00772598">
      <w:pPr>
        <w:pStyle w:val="Bodytexttax1"/>
        <w:numPr>
          <w:ilvl w:val="0"/>
          <w:numId w:val="0"/>
        </w:numPr>
        <w:rPr>
          <w:u w:val="single"/>
        </w:rPr>
      </w:pPr>
      <w:r w:rsidRPr="00772598">
        <w:rPr>
          <w:u w:val="single"/>
        </w:rPr>
        <w:t>Is any restriction on JTIH’s freedom of establishment proportionate?</w:t>
      </w:r>
    </w:p>
    <w:p w14:paraId="5915FE4D" w14:textId="3FB7251D" w:rsidR="003561BE" w:rsidRDefault="003561BE" w:rsidP="00185948">
      <w:pPr>
        <w:pStyle w:val="Bodytexttax1"/>
      </w:pPr>
      <w:r>
        <w:t xml:space="preserve">It is common ground between the parties that any restriction imposed by the </w:t>
      </w:r>
      <w:r w:rsidR="004F2A47">
        <w:t>G</w:t>
      </w:r>
      <w:r>
        <w:t xml:space="preserve">roup </w:t>
      </w:r>
      <w:r w:rsidR="004F2A47">
        <w:t>T</w:t>
      </w:r>
      <w:r>
        <w:t xml:space="preserve">ransfer </w:t>
      </w:r>
      <w:r w:rsidR="004F2A47">
        <w:t>R</w:t>
      </w:r>
      <w:r>
        <w:t>ules can be justified by reasons in the public interest</w:t>
      </w:r>
      <w:r w:rsidR="000C032A">
        <w:t xml:space="preserve">, namely </w:t>
      </w:r>
      <w:r>
        <w:t>the objective of ensuring the balanced allocation of taxing powers between member states (</w:t>
      </w:r>
      <w:r w:rsidRPr="003561BE">
        <w:rPr>
          <w:i/>
        </w:rPr>
        <w:t>National Grid Indus</w:t>
      </w:r>
      <w:r w:rsidR="005525BF">
        <w:rPr>
          <w:i/>
        </w:rPr>
        <w:t xml:space="preserve"> BV v </w:t>
      </w:r>
      <w:proofErr w:type="spellStart"/>
      <w:r w:rsidR="00D131AF">
        <w:rPr>
          <w:i/>
        </w:rPr>
        <w:t>Inspecteur</w:t>
      </w:r>
      <w:proofErr w:type="spellEnd"/>
      <w:r w:rsidR="00D131AF">
        <w:rPr>
          <w:i/>
        </w:rPr>
        <w:t xml:space="preserve"> van de </w:t>
      </w:r>
      <w:proofErr w:type="spellStart"/>
      <w:r w:rsidR="00D131AF">
        <w:rPr>
          <w:i/>
        </w:rPr>
        <w:t>Belastingdienst</w:t>
      </w:r>
      <w:proofErr w:type="spellEnd"/>
      <w:r w:rsidR="00D131AF">
        <w:rPr>
          <w:i/>
        </w:rPr>
        <w:t xml:space="preserve"> </w:t>
      </w:r>
      <w:proofErr w:type="spellStart"/>
      <w:r w:rsidR="00D131AF">
        <w:rPr>
          <w:i/>
        </w:rPr>
        <w:t>Rijnmond</w:t>
      </w:r>
      <w:proofErr w:type="spellEnd"/>
      <w:r w:rsidR="006A05D7">
        <w:rPr>
          <w:i/>
        </w:rPr>
        <w:t xml:space="preserve"> </w:t>
      </w:r>
      <w:r w:rsidR="006A05D7">
        <w:rPr>
          <w:iCs/>
        </w:rPr>
        <w:t>(Case C-371/10)</w:t>
      </w:r>
      <w:r w:rsidR="00D131AF">
        <w:rPr>
          <w:i/>
        </w:rPr>
        <w:t xml:space="preserve"> </w:t>
      </w:r>
      <w:r w:rsidR="00D131AF">
        <w:rPr>
          <w:iCs/>
        </w:rPr>
        <w:t>(“</w:t>
      </w:r>
      <w:r w:rsidR="00D131AF" w:rsidRPr="00D131AF">
        <w:rPr>
          <w:i/>
        </w:rPr>
        <w:t>NGI</w:t>
      </w:r>
      <w:r w:rsidR="00D131AF">
        <w:rPr>
          <w:iCs/>
        </w:rPr>
        <w:t>”)</w:t>
      </w:r>
      <w:r>
        <w:t xml:space="preserve"> [45], [46] and [</w:t>
      </w:r>
      <w:r w:rsidR="00D131AF">
        <w:t>6</w:t>
      </w:r>
      <w:r>
        <w:t xml:space="preserve">4]).  The issue between the parties is whether any such restriction is appropriate to ensure the attainment of that objective and does not go beyond what is necessary to attain that objective, i.e. </w:t>
      </w:r>
      <w:r w:rsidR="001E4E58">
        <w:t xml:space="preserve">whether </w:t>
      </w:r>
      <w:r>
        <w:t xml:space="preserve">the restriction is </w:t>
      </w:r>
      <w:r w:rsidR="007733ED">
        <w:t>“</w:t>
      </w:r>
      <w:r>
        <w:t>proportionate</w:t>
      </w:r>
      <w:r w:rsidR="007733ED">
        <w:t>”</w:t>
      </w:r>
      <w:r>
        <w:t>.</w:t>
      </w:r>
    </w:p>
    <w:p w14:paraId="1F923177" w14:textId="29B542A8" w:rsidR="003561BE" w:rsidRDefault="003561BE" w:rsidP="00185948">
      <w:pPr>
        <w:pStyle w:val="Bodytexttax1"/>
      </w:pPr>
      <w:r>
        <w:t xml:space="preserve">Mr Baker, for Gallaher, says that the imposition of an immediate tax charge in relation to the 2011 </w:t>
      </w:r>
      <w:r w:rsidR="001E4E58">
        <w:t>D</w:t>
      </w:r>
      <w:r>
        <w:t xml:space="preserve">isposal is not proportionate.  He refers by analogy to cases </w:t>
      </w:r>
      <w:r w:rsidR="00784B42">
        <w:t>involving</w:t>
      </w:r>
      <w:r>
        <w:t xml:space="preserve"> exit taxes</w:t>
      </w:r>
      <w:r w:rsidR="00784B42">
        <w:t xml:space="preserve"> </w:t>
      </w:r>
      <w:r w:rsidR="001E4E58">
        <w:t>on</w:t>
      </w:r>
      <w:r w:rsidR="00784B42">
        <w:t xml:space="preserve"> migration</w:t>
      </w:r>
      <w:r w:rsidR="001E4E58">
        <w:t xml:space="preserve"> (</w:t>
      </w:r>
      <w:r w:rsidR="00DA1002">
        <w:t xml:space="preserve">such as </w:t>
      </w:r>
      <w:r w:rsidR="00DA1002" w:rsidRPr="00DA1002">
        <w:rPr>
          <w:i/>
          <w:iCs/>
        </w:rPr>
        <w:t xml:space="preserve">De </w:t>
      </w:r>
      <w:proofErr w:type="spellStart"/>
      <w:r w:rsidR="00DA1002" w:rsidRPr="00DA1002">
        <w:rPr>
          <w:i/>
          <w:iCs/>
        </w:rPr>
        <w:t>Lasteyrie</w:t>
      </w:r>
      <w:proofErr w:type="spellEnd"/>
      <w:r w:rsidR="00DA1002" w:rsidRPr="00DA1002">
        <w:rPr>
          <w:i/>
          <w:iCs/>
        </w:rPr>
        <w:t xml:space="preserve"> v </w:t>
      </w:r>
      <w:proofErr w:type="spellStart"/>
      <w:r w:rsidR="00DA1002" w:rsidRPr="00DA1002">
        <w:rPr>
          <w:i/>
          <w:iCs/>
        </w:rPr>
        <w:t>Ministere</w:t>
      </w:r>
      <w:proofErr w:type="spellEnd"/>
      <w:r w:rsidR="00DA1002" w:rsidRPr="00DA1002">
        <w:rPr>
          <w:i/>
          <w:iCs/>
        </w:rPr>
        <w:t xml:space="preserve"> de </w:t>
      </w:r>
      <w:proofErr w:type="spellStart"/>
      <w:r w:rsidR="00DA1002" w:rsidRPr="00DA1002">
        <w:rPr>
          <w:i/>
          <w:iCs/>
        </w:rPr>
        <w:t>l’Economie</w:t>
      </w:r>
      <w:proofErr w:type="spellEnd"/>
      <w:r w:rsidR="00DA1002" w:rsidRPr="00DA1002">
        <w:rPr>
          <w:i/>
          <w:iCs/>
        </w:rPr>
        <w:t xml:space="preserve">, des Finances et de </w:t>
      </w:r>
      <w:proofErr w:type="spellStart"/>
      <w:r w:rsidR="00DA1002" w:rsidRPr="00DA1002">
        <w:rPr>
          <w:i/>
          <w:iCs/>
        </w:rPr>
        <w:t>l’Industrie</w:t>
      </w:r>
      <w:proofErr w:type="spellEnd"/>
      <w:r w:rsidR="00DA1002">
        <w:t xml:space="preserve"> (Case C-9/02), N v </w:t>
      </w:r>
      <w:proofErr w:type="spellStart"/>
      <w:r w:rsidR="00DA1002">
        <w:rPr>
          <w:i/>
        </w:rPr>
        <w:t>Inspecteur</w:t>
      </w:r>
      <w:proofErr w:type="spellEnd"/>
      <w:r w:rsidR="00DA1002">
        <w:rPr>
          <w:i/>
        </w:rPr>
        <w:t xml:space="preserve"> van de </w:t>
      </w:r>
      <w:proofErr w:type="spellStart"/>
      <w:r w:rsidR="00DA1002">
        <w:rPr>
          <w:i/>
        </w:rPr>
        <w:t>Belastingdienst</w:t>
      </w:r>
      <w:proofErr w:type="spellEnd"/>
      <w:r w:rsidR="00DA1002">
        <w:rPr>
          <w:i/>
        </w:rPr>
        <w:t xml:space="preserve"> Oost </w:t>
      </w:r>
      <w:r w:rsidR="00DA1002">
        <w:rPr>
          <w:iCs/>
        </w:rPr>
        <w:t>(Case C-470/04), and</w:t>
      </w:r>
      <w:r w:rsidR="00DA1002">
        <w:rPr>
          <w:i/>
        </w:rPr>
        <w:t xml:space="preserve"> </w:t>
      </w:r>
      <w:r w:rsidR="001E4E58" w:rsidRPr="001E4E58">
        <w:rPr>
          <w:i/>
          <w:iCs/>
        </w:rPr>
        <w:t>NGI</w:t>
      </w:r>
      <w:r w:rsidR="00DA1002">
        <w:t>)</w:t>
      </w:r>
      <w:r w:rsidR="00784B42">
        <w:t xml:space="preserve">.  In those cases, </w:t>
      </w:r>
      <w:r>
        <w:t xml:space="preserve">the CJEU has held that, </w:t>
      </w:r>
      <w:r w:rsidR="00326550">
        <w:t>for the purposes of maintain</w:t>
      </w:r>
      <w:r>
        <w:t>ing a balanced allocation of taxing powers between member states</w:t>
      </w:r>
      <w:r w:rsidR="00326550">
        <w:t>,</w:t>
      </w:r>
      <w:r>
        <w:t xml:space="preserve"> the member state</w:t>
      </w:r>
      <w:r w:rsidR="00326550">
        <w:t>,</w:t>
      </w:r>
      <w:r>
        <w:t xml:space="preserve"> </w:t>
      </w:r>
      <w:r w:rsidR="00784B42">
        <w:t xml:space="preserve">of </w:t>
      </w:r>
      <w:r>
        <w:t xml:space="preserve">which </w:t>
      </w:r>
      <w:r w:rsidR="00326550">
        <w:t>a</w:t>
      </w:r>
      <w:r>
        <w:t xml:space="preserve"> taxpayer is </w:t>
      </w:r>
      <w:r w:rsidR="00784B42">
        <w:t>ceasing to be a resident</w:t>
      </w:r>
      <w:r w:rsidR="00326550">
        <w:t>,</w:t>
      </w:r>
      <w:r w:rsidR="005525BF">
        <w:t xml:space="preserve"> </w:t>
      </w:r>
      <w:r w:rsidR="00326550">
        <w:t xml:space="preserve">is justified in imposing a </w:t>
      </w:r>
      <w:r w:rsidR="005525BF">
        <w:t xml:space="preserve">tax  charge </w:t>
      </w:r>
      <w:r w:rsidR="00326550">
        <w:t xml:space="preserve">calculated by reference to the value of the taxpayer’s assets </w:t>
      </w:r>
      <w:r w:rsidR="005525BF">
        <w:t xml:space="preserve">at the time at which the taxpayer ceases to be so resident </w:t>
      </w:r>
      <w:r>
        <w:t xml:space="preserve">(and so </w:t>
      </w:r>
      <w:r w:rsidR="005525BF">
        <w:t xml:space="preserve">at the time at which </w:t>
      </w:r>
      <w:r>
        <w:t>the asset in question ceases to be within the scope of taxation in that member state)</w:t>
      </w:r>
      <w:r w:rsidR="00DA1002">
        <w:t xml:space="preserve">.  </w:t>
      </w:r>
      <w:r w:rsidR="000F1F5D">
        <w:t>However, i</w:t>
      </w:r>
      <w:r w:rsidR="00DA1002">
        <w:t xml:space="preserve">f </w:t>
      </w:r>
      <w:r w:rsidR="005525BF">
        <w:t xml:space="preserve">that measure is to be proportionate, </w:t>
      </w:r>
      <w:r>
        <w:t xml:space="preserve">the taxpayer must be permitted an option to defer the tax charge (see </w:t>
      </w:r>
      <w:r w:rsidRPr="003561BE">
        <w:rPr>
          <w:i/>
        </w:rPr>
        <w:t>NGI</w:t>
      </w:r>
      <w:r w:rsidR="00D131AF">
        <w:rPr>
          <w:i/>
        </w:rPr>
        <w:t xml:space="preserve"> </w:t>
      </w:r>
      <w:r w:rsidR="00D131AF">
        <w:rPr>
          <w:iCs/>
        </w:rPr>
        <w:t>[73]</w:t>
      </w:r>
      <w:r>
        <w:t>).  Mr Baker also points to cases in which similar concepts have been employed by the CJEU in cases which are not “pure” exit tax cases to demonstrate that these concepts are not restricted to circumstances involving the taxation of unreali</w:t>
      </w:r>
      <w:r w:rsidR="004923B4">
        <w:t>z</w:t>
      </w:r>
      <w:r>
        <w:t xml:space="preserve">ed gains (see </w:t>
      </w:r>
      <w:r w:rsidR="008028BD" w:rsidRPr="00490B55">
        <w:rPr>
          <w:i/>
          <w:iCs/>
        </w:rPr>
        <w:t xml:space="preserve">Commission v </w:t>
      </w:r>
      <w:r w:rsidRPr="003561BE">
        <w:rPr>
          <w:i/>
        </w:rPr>
        <w:t>Germany</w:t>
      </w:r>
      <w:r w:rsidR="008028BD">
        <w:rPr>
          <w:i/>
        </w:rPr>
        <w:t xml:space="preserve"> </w:t>
      </w:r>
      <w:r w:rsidR="008028BD">
        <w:rPr>
          <w:iCs/>
        </w:rPr>
        <w:t>(Case C-591/13) (“</w:t>
      </w:r>
      <w:r w:rsidR="008028BD" w:rsidRPr="008028BD">
        <w:rPr>
          <w:i/>
        </w:rPr>
        <w:t>Germany</w:t>
      </w:r>
      <w:r w:rsidR="008028BD">
        <w:rPr>
          <w:iCs/>
        </w:rPr>
        <w:t>”)</w:t>
      </w:r>
      <w:r>
        <w:t xml:space="preserve"> [71]).</w:t>
      </w:r>
    </w:p>
    <w:p w14:paraId="145F5F63" w14:textId="00E52F7B" w:rsidR="000F1F5D" w:rsidRDefault="00466D0F" w:rsidP="00185948">
      <w:pPr>
        <w:pStyle w:val="Bodytexttax1"/>
      </w:pPr>
      <w:r>
        <w:t xml:space="preserve">Mr Baldry says that </w:t>
      </w:r>
      <w:r w:rsidR="000F1F5D">
        <w:t xml:space="preserve">the correct approach is for this Tribunal to weigh all the aspects of the regime and to determine </w:t>
      </w:r>
      <w:proofErr w:type="gramStart"/>
      <w:r w:rsidR="000F1F5D">
        <w:t>whether or not</w:t>
      </w:r>
      <w:proofErr w:type="gramEnd"/>
      <w:r w:rsidR="00326550">
        <w:t>,</w:t>
      </w:r>
      <w:r w:rsidR="000F1F5D">
        <w:t xml:space="preserve"> to the extent that </w:t>
      </w:r>
      <w:r w:rsidR="00326550">
        <w:t>they</w:t>
      </w:r>
      <w:r w:rsidR="000F1F5D">
        <w:t xml:space="preserve"> might infringe a treaty freedom, </w:t>
      </w:r>
      <w:r w:rsidR="00326550">
        <w:t>the provisions of that regime are</w:t>
      </w:r>
      <w:r w:rsidR="000F1F5D">
        <w:t xml:space="preserve"> justified and proportionate in all the circumstances. T</w:t>
      </w:r>
      <w:r>
        <w:t xml:space="preserve">he imposition of an immediate tax charge in the circumstances </w:t>
      </w:r>
      <w:r w:rsidR="000F1F5D">
        <w:t xml:space="preserve">of the 2011 Appeal (and the 2014 Appeal) </w:t>
      </w:r>
      <w:r>
        <w:t xml:space="preserve">is an appropriate and proportionate response.  </w:t>
      </w:r>
    </w:p>
    <w:p w14:paraId="5526D595" w14:textId="735B25B9" w:rsidR="006009EE" w:rsidRDefault="00DB110A" w:rsidP="006009EE">
      <w:pPr>
        <w:pStyle w:val="Bodytexttax1"/>
      </w:pPr>
      <w:r>
        <w:t>He submits that i</w:t>
      </w:r>
      <w:r w:rsidR="00466D0F">
        <w:t xml:space="preserve">t is necessary to consider the objective of the </w:t>
      </w:r>
      <w:r w:rsidR="004B5042">
        <w:t>relevant provisions</w:t>
      </w:r>
      <w:r w:rsidR="00466D0F">
        <w:t xml:space="preserve">.  The objective </w:t>
      </w:r>
      <w:r w:rsidR="003B25F6">
        <w:t>o</w:t>
      </w:r>
      <w:r w:rsidR="004B5042">
        <w:t>f the Group Transfer Rules</w:t>
      </w:r>
      <w:r w:rsidR="003B25F6">
        <w:t xml:space="preserve"> was</w:t>
      </w:r>
      <w:r w:rsidR="00466D0F">
        <w:t xml:space="preserve"> to exclude an actual disposal made </w:t>
      </w:r>
      <w:r w:rsidR="003B25F6">
        <w:t xml:space="preserve">by a UK resident company </w:t>
      </w:r>
      <w:r w:rsidR="00466D0F">
        <w:t>to a company</w:t>
      </w:r>
      <w:r w:rsidR="003B25F6">
        <w:t xml:space="preserve"> </w:t>
      </w:r>
      <w:r w:rsidR="00466D0F">
        <w:t xml:space="preserve">outside the </w:t>
      </w:r>
      <w:r w:rsidR="003B25F6">
        <w:t>scope of UK tax</w:t>
      </w:r>
      <w:r w:rsidR="00466D0F">
        <w:t xml:space="preserve"> from the tax neutral treatment afforded by the </w:t>
      </w:r>
      <w:r w:rsidR="003B25F6">
        <w:t>G</w:t>
      </w:r>
      <w:r w:rsidR="00466D0F">
        <w:t xml:space="preserve">roup </w:t>
      </w:r>
      <w:r w:rsidR="003B25F6">
        <w:t>T</w:t>
      </w:r>
      <w:r w:rsidR="00466D0F">
        <w:t>ransfer</w:t>
      </w:r>
      <w:r w:rsidR="003B25F6">
        <w:t xml:space="preserve"> Rules and </w:t>
      </w:r>
      <w:r w:rsidR="00466D0F">
        <w:t xml:space="preserve">to </w:t>
      </w:r>
      <w:r w:rsidR="000F1F5D">
        <w:t xml:space="preserve">tax </w:t>
      </w:r>
      <w:r w:rsidR="00466D0F">
        <w:t>an actual gain reali</w:t>
      </w:r>
      <w:r w:rsidR="003B25F6">
        <w:t>z</w:t>
      </w:r>
      <w:r w:rsidR="00466D0F">
        <w:t xml:space="preserve">ed by the UK resident company. </w:t>
      </w:r>
      <w:r w:rsidR="006009EE">
        <w:t xml:space="preserve"> The tax charges imposed by the legislation were consistent with the accepted principles of international double tax treaties (for example, the UK/Netherlands double tax treaty), </w:t>
      </w:r>
      <w:proofErr w:type="gramStart"/>
      <w:r w:rsidR="006009EE">
        <w:t>which  conferred</w:t>
      </w:r>
      <w:proofErr w:type="gramEnd"/>
      <w:r w:rsidR="006009EE">
        <w:t xml:space="preserve"> upon the state of residence the right to tax gains accruing on the alienation of assets. The CJEU cases recognized the UK’s right to tax that gain.   </w:t>
      </w:r>
      <w:r w:rsidR="00466D0F">
        <w:t xml:space="preserve"> </w:t>
      </w:r>
    </w:p>
    <w:p w14:paraId="4458EF34" w14:textId="0AC31236" w:rsidR="006009EE" w:rsidRDefault="00DB110A" w:rsidP="006009EE">
      <w:pPr>
        <w:pStyle w:val="Bodytexttax1"/>
      </w:pPr>
      <w:r>
        <w:t>Mr Bal</w:t>
      </w:r>
      <w:r w:rsidR="0006769F">
        <w:t>dry says that t</w:t>
      </w:r>
      <w:r w:rsidR="00466D0F">
        <w:t>h</w:t>
      </w:r>
      <w:r w:rsidR="006009EE">
        <w:t>e facts of these appeals</w:t>
      </w:r>
      <w:r w:rsidR="00466D0F">
        <w:t xml:space="preserve"> differ from the exit tax cases (such as </w:t>
      </w:r>
      <w:r w:rsidR="00466D0F" w:rsidRPr="006009EE">
        <w:rPr>
          <w:i/>
          <w:iCs/>
        </w:rPr>
        <w:t>NGI</w:t>
      </w:r>
      <w:r w:rsidR="00466D0F">
        <w:t>) or the other cases in which such principles had been adopted by the CJEU (</w:t>
      </w:r>
      <w:r w:rsidR="003B25F6">
        <w:t xml:space="preserve">such </w:t>
      </w:r>
      <w:r w:rsidR="003B25F6">
        <w:lastRenderedPageBreak/>
        <w:t xml:space="preserve">as </w:t>
      </w:r>
      <w:r w:rsidR="00466D0F" w:rsidRPr="006009EE">
        <w:rPr>
          <w:i/>
          <w:iCs/>
        </w:rPr>
        <w:t>Germany</w:t>
      </w:r>
      <w:r w:rsidR="00466D0F">
        <w:t>)</w:t>
      </w:r>
      <w:r w:rsidR="00146DC9">
        <w:t xml:space="preserve">.  In </w:t>
      </w:r>
      <w:r w:rsidR="00466D0F">
        <w:t>those cases</w:t>
      </w:r>
      <w:r w:rsidR="00146DC9">
        <w:t xml:space="preserve">, either gains were </w:t>
      </w:r>
      <w:proofErr w:type="gramStart"/>
      <w:r w:rsidR="00466D0F">
        <w:t>unreali</w:t>
      </w:r>
      <w:r w:rsidR="003B25F6">
        <w:t>z</w:t>
      </w:r>
      <w:r w:rsidR="00466D0F">
        <w:t>ed</w:t>
      </w:r>
      <w:proofErr w:type="gramEnd"/>
      <w:r w:rsidR="00466D0F">
        <w:t xml:space="preserve"> or </w:t>
      </w:r>
      <w:r w:rsidR="00146DC9">
        <w:t xml:space="preserve">the </w:t>
      </w:r>
      <w:r w:rsidR="0014749A">
        <w:t xml:space="preserve">conditions imposed for the taxpayer to obtain the </w:t>
      </w:r>
      <w:r w:rsidR="00146DC9">
        <w:t>relevant relief</w:t>
      </w:r>
      <w:r w:rsidR="0014749A">
        <w:t xml:space="preserve"> </w:t>
      </w:r>
      <w:r w:rsidR="00146DC9">
        <w:t>imposed requirements</w:t>
      </w:r>
      <w:r w:rsidR="0014749A">
        <w:t>,</w:t>
      </w:r>
      <w:r w:rsidR="00146DC9">
        <w:t xml:space="preserve"> which </w:t>
      </w:r>
      <w:r w:rsidR="0014749A">
        <w:t>dictated</w:t>
      </w:r>
      <w:r w:rsidR="00EA54F5">
        <w:t xml:space="preserve"> that the</w:t>
      </w:r>
      <w:r w:rsidR="00466D0F">
        <w:t xml:space="preserve"> taxpayer </w:t>
      </w:r>
      <w:r w:rsidR="00EA54F5">
        <w:t xml:space="preserve">would </w:t>
      </w:r>
      <w:r w:rsidR="00466D0F">
        <w:t>not hav</w:t>
      </w:r>
      <w:r w:rsidR="00EA54F5">
        <w:t>e</w:t>
      </w:r>
      <w:r w:rsidR="00466D0F">
        <w:t xml:space="preserve"> proceeds </w:t>
      </w:r>
      <w:r w:rsidR="003B25F6">
        <w:t xml:space="preserve">from which </w:t>
      </w:r>
      <w:r w:rsidR="00466D0F">
        <w:t xml:space="preserve">to pay </w:t>
      </w:r>
      <w:r w:rsidR="003B25F6">
        <w:t>the</w:t>
      </w:r>
      <w:r w:rsidR="00466D0F">
        <w:t xml:space="preserve"> tax.  </w:t>
      </w:r>
      <w:r w:rsidR="000F1F5D">
        <w:t>In that context, the requirement for a deferral of the collection of the tax was appropriate.  These appeals involved actual disposal</w:t>
      </w:r>
      <w:r w:rsidR="006009EE">
        <w:t>s</w:t>
      </w:r>
      <w:r w:rsidR="000F1F5D">
        <w:t xml:space="preserve"> and</w:t>
      </w:r>
      <w:r w:rsidR="006009EE">
        <w:t xml:space="preserve"> </w:t>
      </w:r>
      <w:r w:rsidR="000F1F5D">
        <w:t>realized gain</w:t>
      </w:r>
      <w:r w:rsidR="006009EE">
        <w:t xml:space="preserve">s.  In that context, there was no need for the deferral of the collection of that tax.  The imposition of an immediate tax charge in the ordinary way did not go beyond what was necessary to achieve the objective.  </w:t>
      </w:r>
    </w:p>
    <w:p w14:paraId="2DA5A8C8" w14:textId="2FEA234C" w:rsidR="009D61CA" w:rsidRPr="006009EE" w:rsidRDefault="0025432F" w:rsidP="00C1630C">
      <w:pPr>
        <w:pStyle w:val="Bodytexttax1"/>
        <w:numPr>
          <w:ilvl w:val="0"/>
          <w:numId w:val="0"/>
        </w:numPr>
        <w:rPr>
          <w:u w:val="single"/>
        </w:rPr>
      </w:pPr>
      <w:r w:rsidRPr="006009EE">
        <w:rPr>
          <w:u w:val="single"/>
        </w:rPr>
        <w:t>I</w:t>
      </w:r>
      <w:r w:rsidR="0047306B" w:rsidRPr="006009EE">
        <w:rPr>
          <w:u w:val="single"/>
        </w:rPr>
        <w:t>ssue</w:t>
      </w:r>
      <w:r w:rsidR="00CC5F82" w:rsidRPr="006009EE">
        <w:rPr>
          <w:u w:val="single"/>
        </w:rPr>
        <w:t>s</w:t>
      </w:r>
      <w:r w:rsidR="0047306B" w:rsidRPr="006009EE">
        <w:rPr>
          <w:u w:val="single"/>
        </w:rPr>
        <w:t xml:space="preserve"> relating to Ar</w:t>
      </w:r>
      <w:r w:rsidRPr="006009EE">
        <w:rPr>
          <w:u w:val="single"/>
        </w:rPr>
        <w:t xml:space="preserve">ticle 63 </w:t>
      </w:r>
      <w:r w:rsidR="0047306B" w:rsidRPr="006009EE">
        <w:rPr>
          <w:u w:val="single"/>
        </w:rPr>
        <w:t>TFEU</w:t>
      </w:r>
    </w:p>
    <w:p w14:paraId="1FA3963B" w14:textId="0610E9D6" w:rsidR="0025432F" w:rsidRDefault="00EF24F0" w:rsidP="00185948">
      <w:pPr>
        <w:pStyle w:val="Bodytexttax1"/>
      </w:pPr>
      <w:r>
        <w:t xml:space="preserve">As we have mentioned above, the FTT decided that the freedom to move capital under Article 63 TFEU was not engaged in the context of legislation targeted at groups of companies.  </w:t>
      </w:r>
      <w:r w:rsidR="006009EE">
        <w:t>However, t</w:t>
      </w:r>
      <w:r>
        <w:t xml:space="preserve">he FTT </w:t>
      </w:r>
      <w:r w:rsidR="006009EE">
        <w:t xml:space="preserve">went </w:t>
      </w:r>
      <w:r>
        <w:t>on to consider the position which would have obtained if it had decided that it was open to JT Group companies to rely upon Article 63 in relation to the 2011 Appeal.  Th</w:t>
      </w:r>
      <w:r w:rsidR="006009EE">
        <w:t>o</w:t>
      </w:r>
      <w:r w:rsidR="00C725D1">
        <w:t>se co</w:t>
      </w:r>
      <w:r>
        <w:t xml:space="preserve">mments </w:t>
      </w:r>
      <w:r w:rsidR="00C725D1">
        <w:t>we</w:t>
      </w:r>
      <w:r>
        <w:t xml:space="preserve">re clearly obiter.  However, the FTT’s conclusions were, in summary, as follows: </w:t>
      </w:r>
    </w:p>
    <w:p w14:paraId="2194BC6C" w14:textId="7965EA15" w:rsidR="00424E12" w:rsidRDefault="00424E12" w:rsidP="009436BD">
      <w:pPr>
        <w:pStyle w:val="Bodytexttax2"/>
      </w:pPr>
      <w:r>
        <w:t xml:space="preserve">There were two potential movements of capital within Article 63 TFEU in relation to JTIH’s investment in JTISA: the first when JTIH established JTISA and subscribed shares in JTISA; and the second when JTIH made loans to JTISA to fund the acquisition of the </w:t>
      </w:r>
      <w:r w:rsidR="00326550">
        <w:t>B</w:t>
      </w:r>
      <w:r>
        <w:t>rands (FTT [</w:t>
      </w:r>
      <w:r w:rsidRPr="00DD2F7F">
        <w:t>234</w:t>
      </w:r>
      <w:r>
        <w:t>]).</w:t>
      </w:r>
    </w:p>
    <w:p w14:paraId="18FEF326" w14:textId="7AA37033" w:rsidR="00EF24F0" w:rsidRDefault="00424E12" w:rsidP="009436BD">
      <w:pPr>
        <w:pStyle w:val="Bodytexttax2"/>
      </w:pPr>
      <w:r>
        <w:t xml:space="preserve">If Article 63 was engaged, the Group Transfer Rules did not impose a restriction on the exercise of JTIH’s freedom to move capital because there was no necessary connection between the movement of capital and the transfer of the </w:t>
      </w:r>
      <w:r w:rsidR="00C725D1">
        <w:t>B</w:t>
      </w:r>
      <w:r>
        <w:t xml:space="preserve">rands </w:t>
      </w:r>
      <w:r w:rsidR="000D2BA8">
        <w:t xml:space="preserve">and related assets </w:t>
      </w:r>
      <w:r>
        <w:t xml:space="preserve">(FTT </w:t>
      </w:r>
      <w:r w:rsidR="00326550" w:rsidRPr="00DD2F7F">
        <w:t>[</w:t>
      </w:r>
      <w:r w:rsidRPr="00DD2F7F">
        <w:t>243</w:t>
      </w:r>
      <w:r>
        <w:t>]).</w:t>
      </w:r>
    </w:p>
    <w:p w14:paraId="4ADC08E4" w14:textId="191082D0" w:rsidR="007A7B9A" w:rsidRDefault="007A7B9A" w:rsidP="009436BD">
      <w:pPr>
        <w:pStyle w:val="Bodytexttax2"/>
      </w:pPr>
      <w:r>
        <w:t xml:space="preserve">The standstill provisions, in Article 64 TFEU, would have applied with the effect that the JT Group companies could not have relied on any restriction which arose from the application of the Group Transfer Rules </w:t>
      </w:r>
      <w:r w:rsidR="009436BD">
        <w:t>(</w:t>
      </w:r>
      <w:r>
        <w:t xml:space="preserve">FTT </w:t>
      </w:r>
      <w:r w:rsidR="009436BD">
        <w:t>[</w:t>
      </w:r>
      <w:r w:rsidRPr="00DD2F7F">
        <w:t>252</w:t>
      </w:r>
      <w:r>
        <w:t>]</w:t>
      </w:r>
      <w:r w:rsidR="009436BD">
        <w:t>).</w:t>
      </w:r>
    </w:p>
    <w:p w14:paraId="42033A85" w14:textId="379FC183" w:rsidR="007A7B9A" w:rsidRDefault="007A7B9A" w:rsidP="009436BD">
      <w:pPr>
        <w:pStyle w:val="Bodytexttax2"/>
      </w:pPr>
      <w:r>
        <w:t xml:space="preserve">The transfer of the </w:t>
      </w:r>
      <w:r w:rsidR="000D2BA8">
        <w:t>B</w:t>
      </w:r>
      <w:r>
        <w:t xml:space="preserve">rands </w:t>
      </w:r>
      <w:r w:rsidR="000D2BA8">
        <w:t xml:space="preserve">and related assets </w:t>
      </w:r>
      <w:r>
        <w:t>by Gallaher to JTISA was a movement of capital for the purposes of Article 63 (FTT [265])</w:t>
      </w:r>
      <w:r w:rsidR="00C725D1">
        <w:t xml:space="preserve"> and the </w:t>
      </w:r>
      <w:r w:rsidR="0047306B">
        <w:t xml:space="preserve">Group Transfer Rules </w:t>
      </w:r>
      <w:r w:rsidR="00C725D1">
        <w:t>were</w:t>
      </w:r>
      <w:r w:rsidR="0047306B">
        <w:t xml:space="preserve"> a restriction on that freedom.   </w:t>
      </w:r>
    </w:p>
    <w:p w14:paraId="3B94C97F" w14:textId="23EF47FB" w:rsidR="009436BD" w:rsidRDefault="007A7B9A" w:rsidP="009436BD">
      <w:pPr>
        <w:pStyle w:val="Bodytexttax2"/>
      </w:pPr>
      <w:r>
        <w:t>Article 6</w:t>
      </w:r>
      <w:r w:rsidR="009436BD">
        <w:t>4</w:t>
      </w:r>
      <w:r>
        <w:t xml:space="preserve"> TFEU did not apply</w:t>
      </w:r>
      <w:r w:rsidR="009436BD">
        <w:t xml:space="preserve"> to the transfer of the </w:t>
      </w:r>
      <w:r w:rsidR="00C725D1">
        <w:t>B</w:t>
      </w:r>
      <w:r w:rsidR="009436BD">
        <w:t>rands because it was not a “direct investment” for the purposes of Article 64 (FTT [270]).</w:t>
      </w:r>
    </w:p>
    <w:p w14:paraId="51C47F87" w14:textId="77777777" w:rsidR="009436BD" w:rsidRDefault="009436BD" w:rsidP="009436BD">
      <w:pPr>
        <w:pStyle w:val="Bodytexttax2"/>
      </w:pPr>
      <w:r>
        <w:t>Article 65 TFEU did not apply to permit the UK to restrict Gallaher’s right to move capital (FTT [271]).</w:t>
      </w:r>
    </w:p>
    <w:p w14:paraId="631665ED" w14:textId="207C68C6" w:rsidR="0062252A" w:rsidRDefault="009436BD" w:rsidP="003C532B">
      <w:pPr>
        <w:pStyle w:val="Bodytexttax1"/>
      </w:pPr>
      <w:r>
        <w:t xml:space="preserve"> </w:t>
      </w:r>
      <w:r w:rsidR="00373381">
        <w:t xml:space="preserve">Mr Baker </w:t>
      </w:r>
      <w:r w:rsidR="003C532B">
        <w:t>challenged some of these conclusions</w:t>
      </w:r>
      <w:r w:rsidR="00C725D1">
        <w:t xml:space="preserve"> in so far as they related to movements of capital by JTIH</w:t>
      </w:r>
      <w:r w:rsidR="003C532B">
        <w:t xml:space="preserve">.  </w:t>
      </w:r>
    </w:p>
    <w:p w14:paraId="12ACB28E" w14:textId="160B93A7" w:rsidR="0062252A" w:rsidRDefault="003C532B" w:rsidP="0062252A">
      <w:pPr>
        <w:pStyle w:val="Bodytexttax2"/>
      </w:pPr>
      <w:r>
        <w:t xml:space="preserve">First, </w:t>
      </w:r>
      <w:r w:rsidR="00C725D1">
        <w:t xml:space="preserve">Mr Baker submits </w:t>
      </w:r>
      <w:r w:rsidR="00373381">
        <w:t>that the Group Transfer Rules d</w:t>
      </w:r>
      <w:r w:rsidR="0062252A">
        <w:t>o</w:t>
      </w:r>
      <w:r w:rsidR="00373381">
        <w:t xml:space="preserve"> impose a restriction on the exercise of JTIH’s freedom to move capital for much the same reasons as they constituted a restriction on JTIH’s freedom of establishment.  </w:t>
      </w:r>
    </w:p>
    <w:p w14:paraId="7C73DCE6" w14:textId="5022ECAE" w:rsidR="0062252A" w:rsidRDefault="003C532B" w:rsidP="0062252A">
      <w:pPr>
        <w:pStyle w:val="Bodytexttax2"/>
      </w:pPr>
      <w:r>
        <w:t>Second, he point</w:t>
      </w:r>
      <w:r w:rsidR="00813868">
        <w:t>s</w:t>
      </w:r>
      <w:r>
        <w:t xml:space="preserve"> out that the standstill provisions in Article 64 TFEU could not apply to the loan made by JTIH because Article 64 applied to “direct </w:t>
      </w:r>
      <w:r>
        <w:lastRenderedPageBreak/>
        <w:t xml:space="preserve">investments” and the loan was not a “direct investment” for the purposes of the Nomenclature.  </w:t>
      </w:r>
    </w:p>
    <w:p w14:paraId="1F64642F" w14:textId="16199B83" w:rsidR="00424E12" w:rsidRDefault="00813868" w:rsidP="0062252A">
      <w:pPr>
        <w:pStyle w:val="Bodytexttax2"/>
      </w:pPr>
      <w:r>
        <w:t xml:space="preserve">Finally, </w:t>
      </w:r>
      <w:r w:rsidR="0062252A">
        <w:t xml:space="preserve">Mr Baker </w:t>
      </w:r>
      <w:r w:rsidR="003C532B">
        <w:t>did not concede that Group Transfer Rules fell within the standstill provisions</w:t>
      </w:r>
      <w:r w:rsidR="00C725D1">
        <w:t xml:space="preserve"> in Article 64 TFEU</w:t>
      </w:r>
      <w:r>
        <w:t xml:space="preserve">.  Section </w:t>
      </w:r>
      <w:r w:rsidR="003C532B">
        <w:t xml:space="preserve">171 TCGA had been amended on several occasions since 1993 and s775 and s776 </w:t>
      </w:r>
      <w:r w:rsidR="00C725D1">
        <w:t xml:space="preserve">CTA 2009 </w:t>
      </w:r>
      <w:r w:rsidR="003C532B">
        <w:t>were part of the intangible fixed assets rules, which were introduced in 2002.</w:t>
      </w:r>
    </w:p>
    <w:p w14:paraId="76C84174" w14:textId="789E6520" w:rsidR="00F23D76" w:rsidRDefault="003C532B" w:rsidP="003C532B">
      <w:pPr>
        <w:pStyle w:val="Bodytexttax1"/>
      </w:pPr>
      <w:r>
        <w:t xml:space="preserve">Mr Baldry </w:t>
      </w:r>
      <w:r w:rsidR="00F23D76">
        <w:t>makes the following submissions.</w:t>
      </w:r>
    </w:p>
    <w:p w14:paraId="705BA653" w14:textId="6F9A6FB6" w:rsidR="00F23D76" w:rsidRDefault="00F23D76" w:rsidP="009B0108">
      <w:pPr>
        <w:pStyle w:val="Bodytexttax2"/>
      </w:pPr>
      <w:r>
        <w:t xml:space="preserve">He </w:t>
      </w:r>
      <w:r w:rsidR="0006769F">
        <w:t xml:space="preserve">supports </w:t>
      </w:r>
      <w:r>
        <w:t>the FTT’s conclusion that the Group Transfer Rules did not restrict the movements of capital comprising the establishment by JTIH of JTISA (FTT [243]</w:t>
      </w:r>
      <w:r w:rsidR="009B0108">
        <w:t>)</w:t>
      </w:r>
      <w:r>
        <w:t>.</w:t>
      </w:r>
    </w:p>
    <w:p w14:paraId="197B8ED3" w14:textId="77777777" w:rsidR="00C725D1" w:rsidRDefault="009B0108" w:rsidP="009B0108">
      <w:pPr>
        <w:pStyle w:val="Bodytexttax2"/>
      </w:pPr>
      <w:r>
        <w:t>The</w:t>
      </w:r>
      <w:r w:rsidR="00813868">
        <w:t xml:space="preserve"> alleged incompatible provisions in the Group Transfer Rules had</w:t>
      </w:r>
      <w:r w:rsidR="00F23D76">
        <w:t>, in substance,</w:t>
      </w:r>
      <w:r w:rsidR="00813868">
        <w:t xml:space="preserve"> been part of the UK tax regime before 1993 and accordingly the standstill provision in Article 64 applies to prevent the application of Article 63 to the Group Transfer Rules in cases involving a “direct investment”. </w:t>
      </w:r>
      <w:r w:rsidR="00F23D76">
        <w:t xml:space="preserve"> </w:t>
      </w:r>
    </w:p>
    <w:p w14:paraId="2F90B253" w14:textId="11C6C4FC" w:rsidR="0062252A" w:rsidRDefault="00F23D76" w:rsidP="00C725D1">
      <w:pPr>
        <w:pStyle w:val="Bodytexttax2"/>
        <w:numPr>
          <w:ilvl w:val="0"/>
          <w:numId w:val="0"/>
        </w:numPr>
        <w:ind w:left="900"/>
      </w:pPr>
      <w:r>
        <w:t xml:space="preserve">For this purpose it was necessary to look at the substance of the legislation and its effect on the companies that were excluded from the benefit of the legislation (see Henderson J in </w:t>
      </w:r>
      <w:r w:rsidRPr="00C725D1">
        <w:rPr>
          <w:i/>
          <w:iCs/>
        </w:rPr>
        <w:t>Test Claimants in the FII Group Litigation v Revenue and Customs Commissioners</w:t>
      </w:r>
      <w:r>
        <w:t xml:space="preserve"> [2008] EWHC 2893 (Ch), [2009] STC </w:t>
      </w:r>
      <w:r w:rsidR="00C725D1">
        <w:t xml:space="preserve">254 </w:t>
      </w:r>
      <w:r>
        <w:t xml:space="preserve">at [98]). </w:t>
      </w:r>
      <w:r w:rsidR="00722848">
        <w:t xml:space="preserve">Any changes in the rules had not affected the basic proposition that a transfer </w:t>
      </w:r>
      <w:r>
        <w:t xml:space="preserve">of an asset by a UK company </w:t>
      </w:r>
      <w:r w:rsidR="00722848">
        <w:t xml:space="preserve">to a Swiss company could not benefit from the tax neutral treatment afforded by the rules.  </w:t>
      </w:r>
    </w:p>
    <w:p w14:paraId="6FC32739" w14:textId="77777777" w:rsidR="00326550" w:rsidRDefault="00F23D76" w:rsidP="009B0108">
      <w:pPr>
        <w:pStyle w:val="Bodytexttax2"/>
      </w:pPr>
      <w:r>
        <w:t xml:space="preserve">Article 64 applied to restrictions “involving” a direct investment. </w:t>
      </w:r>
      <w:proofErr w:type="gramStart"/>
      <w:r w:rsidR="00095AC9">
        <w:t xml:space="preserve">The </w:t>
      </w:r>
      <w:r>
        <w:t xml:space="preserve"> </w:t>
      </w:r>
      <w:r w:rsidR="00095AC9">
        <w:t>only</w:t>
      </w:r>
      <w:proofErr w:type="gramEnd"/>
      <w:r w:rsidR="00095AC9">
        <w:t xml:space="preserve"> </w:t>
      </w:r>
      <w:r>
        <w:t xml:space="preserve">direct investment in the present case was </w:t>
      </w:r>
      <w:r w:rsidR="009B0108">
        <w:t xml:space="preserve">JTIH’s establishment of JTISA, to which Article 64 applied.  </w:t>
      </w:r>
    </w:p>
    <w:p w14:paraId="7B7D79C9" w14:textId="1158A913" w:rsidR="003C532B" w:rsidRDefault="009B0108" w:rsidP="009B0108">
      <w:pPr>
        <w:pStyle w:val="Bodytexttax2"/>
      </w:pPr>
      <w:r>
        <w:t>T</w:t>
      </w:r>
      <w:r w:rsidR="0062252A">
        <w:t xml:space="preserve">he FTT was wrong to conclude that the transfer of the </w:t>
      </w:r>
      <w:r w:rsidR="00095AC9">
        <w:t>B</w:t>
      </w:r>
      <w:r w:rsidR="0062252A">
        <w:t xml:space="preserve">rands by Gallaher to JTISA was a </w:t>
      </w:r>
      <w:r>
        <w:t xml:space="preserve">separate </w:t>
      </w:r>
      <w:r w:rsidR="0062252A">
        <w:t>movement of capital.  Article 63 applies to financial investments and not the transfer of an asset for full consideration</w:t>
      </w:r>
      <w:r>
        <w:t>.</w:t>
      </w:r>
    </w:p>
    <w:p w14:paraId="72BB1417" w14:textId="16AFDA63" w:rsidR="00CC5F82" w:rsidRDefault="00CC5F82" w:rsidP="00CC5F82">
      <w:pPr>
        <w:pStyle w:val="Bodytexttax2"/>
      </w:pPr>
      <w:r>
        <w:t xml:space="preserve">As regards the application of </w:t>
      </w:r>
      <w:r w:rsidR="00047533">
        <w:t>Article 65</w:t>
      </w:r>
      <w:r>
        <w:t>,</w:t>
      </w:r>
      <w:r w:rsidR="00047533">
        <w:t xml:space="preserve"> </w:t>
      </w:r>
      <w:r w:rsidR="00095AC9">
        <w:t>the</w:t>
      </w:r>
      <w:r>
        <w:t xml:space="preserve"> UK was entitled to charge tax on the disposal of the </w:t>
      </w:r>
      <w:r w:rsidR="00095AC9">
        <w:t>B</w:t>
      </w:r>
      <w:r>
        <w:t xml:space="preserve">rands.  The only point at issue in this case was the collection and payment </w:t>
      </w:r>
      <w:r w:rsidR="00095AC9">
        <w:t xml:space="preserve">of that tax.  It was difficult to describe the collection and payment </w:t>
      </w:r>
      <w:r>
        <w:t>mechanism</w:t>
      </w:r>
      <w:r w:rsidR="00095AC9">
        <w:t xml:space="preserve"> as</w:t>
      </w:r>
      <w:r>
        <w:t xml:space="preserve"> </w:t>
      </w:r>
      <w:r w:rsidR="00095AC9">
        <w:t>“</w:t>
      </w:r>
      <w:r>
        <w:t>arbitrary discrimination</w:t>
      </w:r>
      <w:r w:rsidR="00095AC9">
        <w:t>”</w:t>
      </w:r>
      <w:r>
        <w:t xml:space="preserve"> or a </w:t>
      </w:r>
      <w:r w:rsidR="00095AC9">
        <w:t>“</w:t>
      </w:r>
      <w:r>
        <w:t>disguised restriction</w:t>
      </w:r>
      <w:r w:rsidR="00095AC9">
        <w:t>”</w:t>
      </w:r>
      <w:r>
        <w:t xml:space="preserve"> on the free movement of capital within paragraph 3 of Article 65.</w:t>
      </w:r>
    </w:p>
    <w:p w14:paraId="7359D510" w14:textId="04F51FCE" w:rsidR="00095AC9" w:rsidRDefault="00095AC9" w:rsidP="00095AC9">
      <w:pPr>
        <w:pStyle w:val="Heading2"/>
      </w:pPr>
      <w:r>
        <w:t>The 2014 Appeal</w:t>
      </w:r>
    </w:p>
    <w:p w14:paraId="4AD1D3D0" w14:textId="4F2DEDCB" w:rsidR="00095AC9" w:rsidRDefault="002C7F5E" w:rsidP="00095AC9">
      <w:pPr>
        <w:pStyle w:val="Bodytexttax1"/>
      </w:pPr>
      <w:r>
        <w:t xml:space="preserve">The only issue between the parties in relation to the 2014 Appeal is </w:t>
      </w:r>
      <w:proofErr w:type="gramStart"/>
      <w:r>
        <w:t>whether or not</w:t>
      </w:r>
      <w:proofErr w:type="gramEnd"/>
      <w:r>
        <w:t xml:space="preserve"> the imposition of an immediate charge to tax without the option of deferral constitutes a proportionate means of achieving the objective of taxing the accrued gain on the Galleon shares.  The parties’ submissions on this issue are essentially the same as those which they make in relation to that issue in relation to the 2011 Appeal as set out at </w:t>
      </w:r>
      <w:r w:rsidRPr="00DD2F7F">
        <w:t>[</w:t>
      </w:r>
      <w:r w:rsidR="00326550" w:rsidRPr="00DD2F7F">
        <w:t>49</w:t>
      </w:r>
      <w:r w:rsidRPr="00DD2F7F">
        <w:t xml:space="preserve">] </w:t>
      </w:r>
      <w:proofErr w:type="gramStart"/>
      <w:r w:rsidRPr="00DD2F7F">
        <w:t>to  [</w:t>
      </w:r>
      <w:proofErr w:type="gramEnd"/>
      <w:r w:rsidR="00326550" w:rsidRPr="00DD2F7F">
        <w:t>53</w:t>
      </w:r>
      <w:r w:rsidRPr="00DD2F7F">
        <w:t>]</w:t>
      </w:r>
      <w:r>
        <w:t xml:space="preserve"> above.  </w:t>
      </w:r>
    </w:p>
    <w:p w14:paraId="220CF4F7" w14:textId="77777777" w:rsidR="00DC3B93" w:rsidRPr="003B25F6" w:rsidRDefault="00DC3B93" w:rsidP="002C7F5E">
      <w:pPr>
        <w:pStyle w:val="Heading2"/>
      </w:pPr>
      <w:r w:rsidRPr="003B25F6">
        <w:lastRenderedPageBreak/>
        <w:t>Issues relating to the appropriate or permissible remedies</w:t>
      </w:r>
    </w:p>
    <w:p w14:paraId="7EB2C85A" w14:textId="77777777" w:rsidR="00082101" w:rsidRDefault="00082101" w:rsidP="00082101">
      <w:pPr>
        <w:pStyle w:val="Bodytexttax1"/>
      </w:pPr>
      <w:r>
        <w:t>The next group of issues relate to the remedies which are available to this Tribunal if we find that the imposition of an immediate tax charge is contrary to EU law and that in order to be proportionate it would be necessary for UK tax law to offer the option to defer the tax charge.</w:t>
      </w:r>
    </w:p>
    <w:p w14:paraId="2BBD1FBB" w14:textId="77777777" w:rsidR="00082101" w:rsidRPr="00082101" w:rsidRDefault="00082101" w:rsidP="00082101">
      <w:pPr>
        <w:pStyle w:val="Bodytexttax1"/>
        <w:numPr>
          <w:ilvl w:val="0"/>
          <w:numId w:val="0"/>
        </w:numPr>
        <w:rPr>
          <w:u w:val="single"/>
        </w:rPr>
      </w:pPr>
      <w:r w:rsidRPr="00082101">
        <w:rPr>
          <w:u w:val="single"/>
        </w:rPr>
        <w:t xml:space="preserve">The basis of deferral </w:t>
      </w:r>
    </w:p>
    <w:p w14:paraId="1177064E" w14:textId="77777777" w:rsidR="00082101" w:rsidRDefault="00082101" w:rsidP="00082101">
      <w:pPr>
        <w:pStyle w:val="Bodytexttax1"/>
      </w:pPr>
      <w:r>
        <w:t xml:space="preserve">The first issue relates to what type of deferral is required by EU law for a restriction to be regarded as proportionate.  </w:t>
      </w:r>
    </w:p>
    <w:p w14:paraId="1E3988BF" w14:textId="3D01B36D" w:rsidR="00082101" w:rsidRDefault="00082101" w:rsidP="00082101">
      <w:pPr>
        <w:pStyle w:val="Bodytexttax1"/>
      </w:pPr>
      <w:r>
        <w:t xml:space="preserve">In summary, Mr Baker and Mr Afzal, for Gallaher, submit that the appropriate remedy is for tax to be deferred until a disposal of the relevant assets outside the group or sub-group (a “realization basis”).  On this basis, Gallaher would pay tax only when a relevant group company realized proceeds from the disposal of the relevant asset i.e. the Brands </w:t>
      </w:r>
      <w:r w:rsidR="000D2BA8">
        <w:t xml:space="preserve">and related assets </w:t>
      </w:r>
      <w:r>
        <w:t xml:space="preserve">in relation to the 2011 Disposal or the shares in Galleon in relation to the 2014 Disposal. </w:t>
      </w:r>
    </w:p>
    <w:p w14:paraId="203FD9E3" w14:textId="426BACBC" w:rsidR="00082101" w:rsidRDefault="00082101" w:rsidP="00082101">
      <w:pPr>
        <w:pStyle w:val="Bodytexttax1"/>
      </w:pPr>
      <w:r>
        <w:t>Mr Baldry points out that the UK’s ability to tax the gain realized by the 2011 Disposal and the 2014 Disposal is recognized in the CJEU cases.  Gallaher’s interpretation results in a position where the gain is potentially never taxed at all.  Mr Baldry submits that the appropriate remedy is to permit Gallaher to pay tax by instalments (an “instalment basis”).   H</w:t>
      </w:r>
      <w:r w:rsidR="0006769F">
        <w:t xml:space="preserve">e says </w:t>
      </w:r>
      <w:r>
        <w:t>that the most appropriate conforming interpretation is to import a requirement for the payment of tax by Gallaher by instalments over five years in a manner consistent with either Schedule 49 Finance Act 2013 (deferral of payment of exit charge) or the new legislation in Schedule 3ZC T</w:t>
      </w:r>
      <w:r w:rsidR="000D2BA8">
        <w:t>axes Management Act 1970 (“T</w:t>
      </w:r>
      <w:r>
        <w:t>MA 1970</w:t>
      </w:r>
      <w:r w:rsidR="000D2BA8">
        <w:t>”)</w:t>
      </w:r>
      <w:r w:rsidR="00326550">
        <w:t xml:space="preserve"> (see [</w:t>
      </w:r>
      <w:r w:rsidR="0014461C" w:rsidRPr="00DD2F7F">
        <w:t>88</w:t>
      </w:r>
      <w:r w:rsidR="00326550">
        <w:t>] below)</w:t>
      </w:r>
      <w:r>
        <w:t xml:space="preserve">.  </w:t>
      </w:r>
    </w:p>
    <w:p w14:paraId="4C968C6A" w14:textId="77777777" w:rsidR="00082101" w:rsidRDefault="00082101" w:rsidP="00082101">
      <w:pPr>
        <w:pStyle w:val="Bodytexttax1"/>
      </w:pPr>
      <w:r>
        <w:t>Both parties provided the Tribunal with drafting of changes to existing legislation to give effect to their preferred interpretation.</w:t>
      </w:r>
    </w:p>
    <w:p w14:paraId="4695AC21" w14:textId="7BFAD1B4" w:rsidR="00082101" w:rsidRDefault="00082101" w:rsidP="00082101">
      <w:pPr>
        <w:pStyle w:val="Bodytexttax1"/>
      </w:pPr>
      <w:r>
        <w:t>Mr Baker</w:t>
      </w:r>
      <w:r w:rsidR="00ED1A7D">
        <w:t xml:space="preserve"> and Mr </w:t>
      </w:r>
      <w:r w:rsidR="000D2BA8">
        <w:t>Afzal</w:t>
      </w:r>
      <w:r w:rsidR="007E78CC">
        <w:t xml:space="preserve"> </w:t>
      </w:r>
      <w:r w:rsidR="00ED1A7D">
        <w:t xml:space="preserve"> </w:t>
      </w:r>
      <w:r w:rsidR="007E78CC">
        <w:t xml:space="preserve">accept </w:t>
      </w:r>
      <w:r>
        <w:t xml:space="preserve">that there are cases in which the CJEU has found an instalment basis to be proportionate (see, for example, </w:t>
      </w:r>
      <w:r w:rsidRPr="00082101">
        <w:rPr>
          <w:i/>
          <w:iCs/>
        </w:rPr>
        <w:t xml:space="preserve">DMC </w:t>
      </w:r>
      <w:proofErr w:type="spellStart"/>
      <w:r w:rsidRPr="00082101">
        <w:rPr>
          <w:i/>
          <w:iCs/>
        </w:rPr>
        <w:t>Beteiligungsgesellschaft</w:t>
      </w:r>
      <w:proofErr w:type="spellEnd"/>
      <w:r w:rsidRPr="00082101">
        <w:rPr>
          <w:i/>
          <w:iCs/>
        </w:rPr>
        <w:t xml:space="preserve"> </w:t>
      </w:r>
      <w:proofErr w:type="spellStart"/>
      <w:r w:rsidRPr="00082101">
        <w:rPr>
          <w:i/>
          <w:iCs/>
        </w:rPr>
        <w:t>mbH</w:t>
      </w:r>
      <w:proofErr w:type="spellEnd"/>
      <w:r w:rsidRPr="00082101">
        <w:rPr>
          <w:i/>
          <w:iCs/>
        </w:rPr>
        <w:t xml:space="preserve"> v </w:t>
      </w:r>
      <w:proofErr w:type="spellStart"/>
      <w:r w:rsidRPr="00082101">
        <w:rPr>
          <w:i/>
          <w:iCs/>
        </w:rPr>
        <w:t>Finanzamt</w:t>
      </w:r>
      <w:proofErr w:type="spellEnd"/>
      <w:r w:rsidRPr="00082101">
        <w:rPr>
          <w:i/>
          <w:iCs/>
        </w:rPr>
        <w:t xml:space="preserve"> Hamburg-Mitte</w:t>
      </w:r>
      <w:r>
        <w:t xml:space="preserve"> (Case C-164/12) (“</w:t>
      </w:r>
      <w:r w:rsidRPr="00082101">
        <w:rPr>
          <w:i/>
          <w:iCs/>
        </w:rPr>
        <w:t>DMC</w:t>
      </w:r>
      <w:r>
        <w:t xml:space="preserve">”) and </w:t>
      </w:r>
      <w:proofErr w:type="spellStart"/>
      <w:r w:rsidRPr="00082101">
        <w:rPr>
          <w:i/>
          <w:iCs/>
        </w:rPr>
        <w:t>Verder</w:t>
      </w:r>
      <w:proofErr w:type="spellEnd"/>
      <w:r w:rsidRPr="00082101">
        <w:rPr>
          <w:i/>
          <w:iCs/>
        </w:rPr>
        <w:t xml:space="preserve"> </w:t>
      </w:r>
      <w:proofErr w:type="spellStart"/>
      <w:r w:rsidRPr="00082101">
        <w:rPr>
          <w:i/>
          <w:iCs/>
        </w:rPr>
        <w:t>LabTec</w:t>
      </w:r>
      <w:proofErr w:type="spellEnd"/>
      <w:r w:rsidRPr="00082101">
        <w:rPr>
          <w:i/>
          <w:iCs/>
        </w:rPr>
        <w:t xml:space="preserve"> GmbH &amp; Co. KG v </w:t>
      </w:r>
      <w:proofErr w:type="spellStart"/>
      <w:r w:rsidRPr="00082101">
        <w:rPr>
          <w:i/>
          <w:iCs/>
        </w:rPr>
        <w:t>Finanzamt</w:t>
      </w:r>
      <w:proofErr w:type="spellEnd"/>
      <w:r w:rsidRPr="00082101">
        <w:rPr>
          <w:i/>
          <w:iCs/>
        </w:rPr>
        <w:t xml:space="preserve"> Hilden</w:t>
      </w:r>
      <w:r>
        <w:t xml:space="preserve"> (Case C-657/13) (“</w:t>
      </w:r>
      <w:proofErr w:type="spellStart"/>
      <w:r w:rsidRPr="00082101">
        <w:rPr>
          <w:i/>
          <w:iCs/>
        </w:rPr>
        <w:t>LabTec</w:t>
      </w:r>
      <w:proofErr w:type="spellEnd"/>
      <w:r>
        <w:t xml:space="preserve">”)).  However, in those cases, the CJEU considered regimes in which the option to pay by instalments already existed in domestic law.  Those cases simply confirmed that an existing instalment payment regime might be a proportionate means of achieving a legitimate objective.  It did not follow that it was open to a national court or tribunal to provide a remedy which comprised a deferral of the tax charge on an instalment basis.  Even if those cases could be read in that way, the CJEU case law has developed further following the decision of the CJEU in </w:t>
      </w:r>
      <w:r w:rsidRPr="00082101">
        <w:rPr>
          <w:i/>
          <w:iCs/>
        </w:rPr>
        <w:t>Martin</w:t>
      </w:r>
      <w:r>
        <w:t xml:space="preserve"> </w:t>
      </w:r>
      <w:proofErr w:type="spellStart"/>
      <w:r w:rsidRPr="00082101">
        <w:rPr>
          <w:i/>
          <w:iCs/>
        </w:rPr>
        <w:t>Wächtler</w:t>
      </w:r>
      <w:proofErr w:type="spellEnd"/>
      <w:r w:rsidRPr="00082101">
        <w:rPr>
          <w:i/>
          <w:iCs/>
        </w:rPr>
        <w:t xml:space="preserve"> v </w:t>
      </w:r>
      <w:proofErr w:type="spellStart"/>
      <w:r w:rsidRPr="00082101">
        <w:rPr>
          <w:i/>
          <w:iCs/>
        </w:rPr>
        <w:t>Finanzamt</w:t>
      </w:r>
      <w:proofErr w:type="spellEnd"/>
      <w:r w:rsidRPr="00082101">
        <w:rPr>
          <w:i/>
          <w:iCs/>
        </w:rPr>
        <w:t xml:space="preserve"> Konstanz</w:t>
      </w:r>
      <w:r>
        <w:t xml:space="preserve"> (C-581/17) (“</w:t>
      </w:r>
      <w:proofErr w:type="spellStart"/>
      <w:r w:rsidRPr="00082101">
        <w:rPr>
          <w:i/>
          <w:iCs/>
        </w:rPr>
        <w:t>Wächtler</w:t>
      </w:r>
      <w:proofErr w:type="spellEnd"/>
      <w:r>
        <w:t>”) such that, even if domestic law provides for deferral on an instalment basis, it is nonetheless necessary for taxpayers to be given the option of deferral on a realization basis if the regime is to be proportionate.</w:t>
      </w:r>
    </w:p>
    <w:p w14:paraId="76F93DDC" w14:textId="5B19641E" w:rsidR="00082101" w:rsidRDefault="00082101" w:rsidP="00082101">
      <w:pPr>
        <w:pStyle w:val="Bodytexttax1"/>
      </w:pPr>
      <w:r>
        <w:t xml:space="preserve">Furthermore, even if in principle deferral on an instalment basis might be an appropriate remedy, Mr Baker </w:t>
      </w:r>
      <w:r w:rsidR="007E78CC">
        <w:t xml:space="preserve">and Mr </w:t>
      </w:r>
      <w:r w:rsidR="000D2BA8">
        <w:t>Afzal</w:t>
      </w:r>
      <w:r w:rsidR="007E78CC">
        <w:t xml:space="preserve"> </w:t>
      </w:r>
      <w:r>
        <w:t xml:space="preserve">submit that as a matter of EU law, national </w:t>
      </w:r>
      <w:r>
        <w:lastRenderedPageBreak/>
        <w:t xml:space="preserve">courts and tribunals must provide a remedy which interferes with the protected EU law freedom to the least possible extent as opposed to a remedy which, although proportionate, departs from domestic law to the least possible extent.  On this basis, a remedy involving a deferral on an instalment basis cannot be preferred over a remedy providing deferral on a realization basis.  </w:t>
      </w:r>
    </w:p>
    <w:p w14:paraId="52C712E3" w14:textId="30694627" w:rsidR="00082101" w:rsidRDefault="00082101" w:rsidP="00082101">
      <w:pPr>
        <w:pStyle w:val="Bodytexttax1"/>
      </w:pPr>
      <w:r>
        <w:t>Mr Baldry</w:t>
      </w:r>
      <w:r w:rsidR="007E78CC">
        <w:t xml:space="preserve"> </w:t>
      </w:r>
      <w:r>
        <w:t>says that, even if the principles in the exit tax cases can be applied by analogy to the Group Transfer Rules, the CJEU case law is clear that it would be proportionate to provide a remedy by payment by instalments.  He refers</w:t>
      </w:r>
      <w:r w:rsidR="0014461C">
        <w:t>,</w:t>
      </w:r>
      <w:r>
        <w:t xml:space="preserve"> in this context, to the decisions of the CJEU in </w:t>
      </w:r>
      <w:r w:rsidRPr="00082101">
        <w:rPr>
          <w:i/>
          <w:iCs/>
        </w:rPr>
        <w:t>DMC</w:t>
      </w:r>
      <w:r>
        <w:t xml:space="preserve"> and </w:t>
      </w:r>
      <w:proofErr w:type="spellStart"/>
      <w:r w:rsidRPr="00082101">
        <w:rPr>
          <w:i/>
          <w:iCs/>
        </w:rPr>
        <w:t>LabTec</w:t>
      </w:r>
      <w:proofErr w:type="spellEnd"/>
      <w:r>
        <w:t xml:space="preserve"> in which the CJEU held that the relevant instalment bases (in the case of </w:t>
      </w:r>
      <w:r w:rsidRPr="00082101">
        <w:rPr>
          <w:i/>
          <w:iCs/>
        </w:rPr>
        <w:t>DMC</w:t>
      </w:r>
      <w:r>
        <w:t xml:space="preserve"> involving instalments over 5 years, and in the case of </w:t>
      </w:r>
      <w:proofErr w:type="spellStart"/>
      <w:r w:rsidRPr="00082101">
        <w:rPr>
          <w:i/>
          <w:iCs/>
        </w:rPr>
        <w:t>LabTec</w:t>
      </w:r>
      <w:proofErr w:type="spellEnd"/>
      <w:r>
        <w:t xml:space="preserve"> involving instalments over 10 years) were proportionate regimes.  He also distinguishes the decision of the CJEU in </w:t>
      </w:r>
      <w:proofErr w:type="spellStart"/>
      <w:r w:rsidRPr="00082101">
        <w:rPr>
          <w:i/>
          <w:iCs/>
        </w:rPr>
        <w:t>Wächtler</w:t>
      </w:r>
      <w:proofErr w:type="spellEnd"/>
      <w:r>
        <w:t xml:space="preserve"> on the grounds that it is a hardship case and should not be read as diverging from the earlier cases.  On this basis, Mr Baldry says that</w:t>
      </w:r>
      <w:r w:rsidR="000D2BA8">
        <w:t xml:space="preserve"> it</w:t>
      </w:r>
      <w:r>
        <w:t xml:space="preserve"> is open to this Tribunal to provide a remedy which requires payment on an instalment basis.  He notes that the First-tier Tribunal in </w:t>
      </w:r>
      <w:r w:rsidRPr="00082101">
        <w:rPr>
          <w:i/>
          <w:iCs/>
        </w:rPr>
        <w:t>Trustees of the P Panayi Accumulation and Maintenance Trusts Nos 1-4 v Revenue and Customs Commissioners</w:t>
      </w:r>
      <w:r>
        <w:t xml:space="preserve"> [2019] UKFTT 622 (TC) (“</w:t>
      </w:r>
      <w:r w:rsidRPr="00082101">
        <w:rPr>
          <w:i/>
          <w:iCs/>
        </w:rPr>
        <w:t>Panayi</w:t>
      </w:r>
      <w:r>
        <w:t>”) adopted this approach.</w:t>
      </w:r>
    </w:p>
    <w:p w14:paraId="3A2C72F2" w14:textId="5E960DEB" w:rsidR="00082101" w:rsidRDefault="00082101" w:rsidP="00082101">
      <w:pPr>
        <w:pStyle w:val="Bodytexttax1"/>
      </w:pPr>
      <w:r>
        <w:t xml:space="preserve">Mr Baldry challenges </w:t>
      </w:r>
      <w:r w:rsidR="007E78CC">
        <w:t>Gallaher</w:t>
      </w:r>
      <w:r>
        <w:t xml:space="preserve">’s assertion that a national court or tribunal must provide a remedy which interferes with the protected treaty freedom to the least possible extent.  There is no authority for this proposition.  The correct approach is that the national court or tribunal should go no further than is necessary to interpret the legislation in an EU law compliant way (see, for example, </w:t>
      </w:r>
      <w:r w:rsidR="009D55C0" w:rsidRPr="009D55C0">
        <w:rPr>
          <w:i/>
          <w:iCs/>
        </w:rPr>
        <w:t xml:space="preserve">The </w:t>
      </w:r>
      <w:r w:rsidRPr="00082101">
        <w:rPr>
          <w:i/>
          <w:iCs/>
        </w:rPr>
        <w:t>Prudential Assurance Co. Ltd v Revenue and Customs Commissioners</w:t>
      </w:r>
      <w:r>
        <w:t xml:space="preserve"> [2013] EWHC 3249 (Ch) (“</w:t>
      </w:r>
      <w:r w:rsidRPr="00082101">
        <w:rPr>
          <w:i/>
          <w:iCs/>
        </w:rPr>
        <w:t>Prudential</w:t>
      </w:r>
      <w:r>
        <w:t xml:space="preserve">”) [148], </w:t>
      </w:r>
      <w:r w:rsidRPr="00082101">
        <w:rPr>
          <w:i/>
          <w:iCs/>
        </w:rPr>
        <w:t>Revenue and Customs Commissioners v IDT Card Services Ireland Limited</w:t>
      </w:r>
      <w:r>
        <w:t xml:space="preserve"> [2006] EWCA </w:t>
      </w:r>
      <w:proofErr w:type="spellStart"/>
      <w:r>
        <w:t>Civ</w:t>
      </w:r>
      <w:proofErr w:type="spellEnd"/>
      <w:r>
        <w:t xml:space="preserve"> 29 [91], </w:t>
      </w:r>
      <w:proofErr w:type="spellStart"/>
      <w:r w:rsidRPr="00082101">
        <w:rPr>
          <w:i/>
          <w:iCs/>
        </w:rPr>
        <w:t>Routier</w:t>
      </w:r>
      <w:proofErr w:type="spellEnd"/>
      <w:r w:rsidRPr="00082101">
        <w:rPr>
          <w:i/>
          <w:iCs/>
        </w:rPr>
        <w:t xml:space="preserve"> and another v Revenue and Customs Commissioners</w:t>
      </w:r>
      <w:r>
        <w:t xml:space="preserve"> [2017] EWCA </w:t>
      </w:r>
      <w:proofErr w:type="spellStart"/>
      <w:r>
        <w:t>Civ</w:t>
      </w:r>
      <w:proofErr w:type="spellEnd"/>
      <w:r>
        <w:t xml:space="preserve"> 1584 [93]).  This principle follows logically </w:t>
      </w:r>
      <w:r w:rsidR="0014461C">
        <w:t>from</w:t>
      </w:r>
      <w:r>
        <w:t xml:space="preserve"> the fact that the national court’s power to make conforming interpretation only arises where the legislation itself is not compliant.  There is no jurisdiction to go further than is necessary to render the domestic law compliant with EU law.</w:t>
      </w:r>
    </w:p>
    <w:p w14:paraId="564277A4" w14:textId="77777777" w:rsidR="00082101" w:rsidRPr="00082101" w:rsidRDefault="00082101" w:rsidP="00082101">
      <w:pPr>
        <w:pStyle w:val="Bodytexttax1"/>
        <w:numPr>
          <w:ilvl w:val="0"/>
          <w:numId w:val="0"/>
        </w:numPr>
        <w:rPr>
          <w:u w:val="single"/>
        </w:rPr>
      </w:pPr>
      <w:r w:rsidRPr="00082101">
        <w:rPr>
          <w:u w:val="single"/>
        </w:rPr>
        <w:t>Conforming interpretation or disapplication</w:t>
      </w:r>
    </w:p>
    <w:p w14:paraId="4EF4C497" w14:textId="0590C6B3" w:rsidR="00082101" w:rsidRDefault="00082101" w:rsidP="00082101">
      <w:pPr>
        <w:pStyle w:val="Bodytexttax1"/>
      </w:pPr>
      <w:r>
        <w:t xml:space="preserve">The second issue relates to the </w:t>
      </w:r>
      <w:proofErr w:type="gramStart"/>
      <w:r>
        <w:t>manner in which</w:t>
      </w:r>
      <w:proofErr w:type="gramEnd"/>
      <w:r>
        <w:t xml:space="preserve"> the remedy should be given.  The parties agree that there are two options open </w:t>
      </w:r>
      <w:r w:rsidR="000D2BA8">
        <w:t xml:space="preserve">to </w:t>
      </w:r>
      <w:r>
        <w:t xml:space="preserve">the Tribunal: either to construe the relevant UK legislation in a manner which is consistent with EU law, a so-called “conforming interpretation” or “conforming construction”; or alternatively to disapply the offending provisions. </w:t>
      </w:r>
    </w:p>
    <w:p w14:paraId="1F26B1EB" w14:textId="347FC666" w:rsidR="00082101" w:rsidRDefault="00082101" w:rsidP="00082101">
      <w:pPr>
        <w:pStyle w:val="Bodytexttax1"/>
      </w:pPr>
      <w:r>
        <w:t>Both parties agreed that the FTT’s approach to disapplication was wrong.  The FTT treated disapplication as involving a striking out of words or provisions in domestic legislation (FTT [</w:t>
      </w:r>
      <w:r w:rsidR="0014461C" w:rsidRPr="00DD2F7F">
        <w:t>221]-[228</w:t>
      </w:r>
      <w:r>
        <w:t>]).  The correct approach was that disapplication required the relevant domestic legislation be read as applying without prejudice to directly enforceable EU law rights (</w:t>
      </w:r>
      <w:r w:rsidRPr="00082101">
        <w:rPr>
          <w:i/>
          <w:iCs/>
        </w:rPr>
        <w:t xml:space="preserve">R v Secretary of State for Transport ex </w:t>
      </w:r>
      <w:proofErr w:type="spellStart"/>
      <w:r w:rsidRPr="00082101">
        <w:rPr>
          <w:i/>
          <w:iCs/>
        </w:rPr>
        <w:t>parte</w:t>
      </w:r>
      <w:proofErr w:type="spellEnd"/>
      <w:r w:rsidRPr="00082101">
        <w:rPr>
          <w:i/>
          <w:iCs/>
        </w:rPr>
        <w:t xml:space="preserve"> Factortame</w:t>
      </w:r>
      <w:r>
        <w:t xml:space="preserve"> [1990] 2 AC 85 at 140).</w:t>
      </w:r>
    </w:p>
    <w:p w14:paraId="2A844EC7" w14:textId="7049D263" w:rsidR="00082101" w:rsidRDefault="00082101" w:rsidP="00082101">
      <w:pPr>
        <w:pStyle w:val="Bodytexttax1"/>
      </w:pPr>
      <w:r>
        <w:lastRenderedPageBreak/>
        <w:t>Both parties also agreed that</w:t>
      </w:r>
      <w:r w:rsidR="008126AB">
        <w:t>,</w:t>
      </w:r>
      <w:r>
        <w:t xml:space="preserve"> contrary to the FTT’s view, the Group Transfer Rules were capable of a conforming interpretation to give effect to the relevant EU law rights and that the relevant principles to be applied were those set out in the decision of the Court of Appeal in </w:t>
      </w:r>
      <w:r w:rsidRPr="00082101">
        <w:rPr>
          <w:i/>
          <w:iCs/>
        </w:rPr>
        <w:t xml:space="preserve">Vodafone </w:t>
      </w:r>
      <w:r>
        <w:rPr>
          <w:i/>
          <w:iCs/>
        </w:rPr>
        <w:t xml:space="preserve">2 </w:t>
      </w:r>
      <w:r w:rsidRPr="00082101">
        <w:rPr>
          <w:i/>
          <w:iCs/>
        </w:rPr>
        <w:t>v Revenue &amp; Customs Commissioners</w:t>
      </w:r>
      <w:r>
        <w:t xml:space="preserve"> [2009] EWCA </w:t>
      </w:r>
      <w:proofErr w:type="spellStart"/>
      <w:r>
        <w:t>Civ</w:t>
      </w:r>
      <w:proofErr w:type="spellEnd"/>
      <w:r>
        <w:t xml:space="preserve"> 446, [2010] 2 WLR 288 (“</w:t>
      </w:r>
      <w:r w:rsidRPr="00082101">
        <w:rPr>
          <w:i/>
          <w:iCs/>
        </w:rPr>
        <w:t>Vodafone 2</w:t>
      </w:r>
      <w:r>
        <w:t xml:space="preserve">”).  In summary, </w:t>
      </w:r>
      <w:r w:rsidR="0014461C">
        <w:t xml:space="preserve">those principles are that </w:t>
      </w:r>
      <w:r>
        <w:t>the obligation on the UK courts and tribunals to construe domestic legislation in a manner consistent with EU law is “both broad and far reaching”</w:t>
      </w:r>
      <w:r w:rsidR="0014461C">
        <w:t xml:space="preserve"> and the</w:t>
      </w:r>
      <w:r>
        <w:t xml:space="preserve"> only constraints on that obligation are that the interpretation should “go with the gra</w:t>
      </w:r>
      <w:r w:rsidR="0014461C">
        <w:t>i</w:t>
      </w:r>
      <w:r>
        <w:t>n of the legislation” and the exercise of that interpretative obligation “cannot require the courts to make decisions for which they are not equipped or give rise to important practical repercussions which the court is not equipped to evaluate” (</w:t>
      </w:r>
      <w:r w:rsidRPr="00082101">
        <w:rPr>
          <w:i/>
          <w:iCs/>
        </w:rPr>
        <w:t>Vodafone 2</w:t>
      </w:r>
      <w:r>
        <w:t xml:space="preserve"> [37], [38]).</w:t>
      </w:r>
    </w:p>
    <w:p w14:paraId="30CEE9EE" w14:textId="23D5E08D" w:rsidR="00082101" w:rsidRDefault="00082101" w:rsidP="00082101">
      <w:pPr>
        <w:pStyle w:val="Bodytexttax1"/>
      </w:pPr>
      <w:r>
        <w:t>Mr Afzal for Gallaher submits that a reali</w:t>
      </w:r>
      <w:r w:rsidR="0014461C">
        <w:t>z</w:t>
      </w:r>
      <w:r>
        <w:t>ation basis does not involve the Tribunal straying into questions which it is not equipped to decide.  The FTT was wrong to decide that Gallaher’s proposed conforming interpretation did not go with the grain of the legislation.  There were existing examples of circumstances in tax legislation applicable to corporation tax on chargeable gains where the taxation of a reali</w:t>
      </w:r>
      <w:r w:rsidR="0014461C">
        <w:t>z</w:t>
      </w:r>
      <w:r>
        <w:t>ed gain was deferred until a future reali</w:t>
      </w:r>
      <w:r w:rsidR="0014461C">
        <w:t>z</w:t>
      </w:r>
      <w:r>
        <w:t xml:space="preserve">ation of the relevant asset.  Mr Afzal referred to s116 TCGA (qualifying corporate bonds) and s140 TCGA (incorporation of foreign branches) as two such examples. </w:t>
      </w:r>
    </w:p>
    <w:p w14:paraId="0CF12DCD" w14:textId="3DA0C783" w:rsidR="00082101" w:rsidRDefault="00082101" w:rsidP="00082101">
      <w:pPr>
        <w:pStyle w:val="Bodytexttax1"/>
      </w:pPr>
      <w:r>
        <w:t>By contrast, Mr Afzal submit</w:t>
      </w:r>
      <w:r w:rsidR="00FD206D">
        <w:t>s</w:t>
      </w:r>
      <w:r>
        <w:t xml:space="preserve"> that an instalment basis did not “go with the grain” of the legislation.  A UK company, which was the transferee of an asset under a transaction within s171 TCGA would be taxed on any gain on the asset on a realisation basis not on an instalment basis.  Furthermore, the imposition of an instalment basis involved the court or tribunal straying into matters which a court or tribunal was not equipped to decide, namely, the number and date of instalments.  </w:t>
      </w:r>
    </w:p>
    <w:p w14:paraId="1B76B8E3" w14:textId="1E236EE3" w:rsidR="00082101" w:rsidRDefault="00082101" w:rsidP="00082101">
      <w:pPr>
        <w:pStyle w:val="Bodytexttax1"/>
      </w:pPr>
      <w:r>
        <w:t>Mr Baldry argue</w:t>
      </w:r>
      <w:r w:rsidR="00FD206D">
        <w:t>s</w:t>
      </w:r>
      <w:r>
        <w:t xml:space="preserve"> that the adoption of an instalment basis </w:t>
      </w:r>
      <w:r w:rsidR="00FD206D">
        <w:t xml:space="preserve">is </w:t>
      </w:r>
      <w:r>
        <w:t xml:space="preserve">within the ambit of the “highly muscular approach” to the doctrine of conforming interpretation required by </w:t>
      </w:r>
      <w:r w:rsidRPr="0014461C">
        <w:rPr>
          <w:i/>
          <w:iCs/>
        </w:rPr>
        <w:t>Vodafone 2</w:t>
      </w:r>
      <w:r w:rsidR="0014461C">
        <w:rPr>
          <w:i/>
          <w:iCs/>
        </w:rPr>
        <w:t xml:space="preserve">.  </w:t>
      </w:r>
      <w:r w:rsidR="0014461C" w:rsidRPr="0014461C">
        <w:t>I</w:t>
      </w:r>
      <w:r>
        <w:t xml:space="preserve">t was not beyond the scope of the powers of the Tribunal </w:t>
      </w:r>
      <w:r w:rsidR="0014461C">
        <w:t>as demonstrated by</w:t>
      </w:r>
      <w:r>
        <w:t xml:space="preserve"> the decision of the FTT in </w:t>
      </w:r>
      <w:r w:rsidRPr="0014461C">
        <w:rPr>
          <w:i/>
          <w:iCs/>
        </w:rPr>
        <w:t>Panayi</w:t>
      </w:r>
      <w:r>
        <w:t>.</w:t>
      </w:r>
    </w:p>
    <w:p w14:paraId="349FA4C6" w14:textId="6412175A" w:rsidR="00082101" w:rsidRDefault="00FD206D" w:rsidP="00082101">
      <w:pPr>
        <w:pStyle w:val="Bodytexttax1"/>
      </w:pPr>
      <w:r>
        <w:t>He says that t</w:t>
      </w:r>
      <w:r w:rsidR="00082101">
        <w:t>he approach also went with the grain of the legislation.  There were example</w:t>
      </w:r>
      <w:r w:rsidR="0014461C">
        <w:t>s</w:t>
      </w:r>
      <w:r w:rsidR="00082101">
        <w:t xml:space="preserve"> of other instalment bas</w:t>
      </w:r>
      <w:r w:rsidR="0014461C">
        <w:t>e</w:t>
      </w:r>
      <w:r w:rsidR="00082101">
        <w:t>s used in the legislation (see</w:t>
      </w:r>
      <w:r w:rsidR="0014461C">
        <w:t xml:space="preserve">, </w:t>
      </w:r>
      <w:r w:rsidR="00082101">
        <w:t>for example</w:t>
      </w:r>
      <w:r w:rsidR="0014461C">
        <w:t>,</w:t>
      </w:r>
      <w:r w:rsidR="00082101">
        <w:t xml:space="preserve"> </w:t>
      </w:r>
      <w:r w:rsidR="0014461C">
        <w:t>s</w:t>
      </w:r>
      <w:r w:rsidR="00082101">
        <w:t>49 F</w:t>
      </w:r>
      <w:r w:rsidR="0014461C">
        <w:t xml:space="preserve">inance </w:t>
      </w:r>
      <w:r w:rsidR="00082101">
        <w:t>A</w:t>
      </w:r>
      <w:r w:rsidR="0014461C">
        <w:t>ct</w:t>
      </w:r>
      <w:r w:rsidR="00082101">
        <w:t xml:space="preserve"> 2013 and Schedule 3ZB TMA 1970).  It was the appropriate basis to apply when an asset would otherwise leave the scope of UK tax.</w:t>
      </w:r>
    </w:p>
    <w:p w14:paraId="6B80FE45" w14:textId="77777777" w:rsidR="00082101" w:rsidRPr="00082101" w:rsidRDefault="00082101" w:rsidP="00082101">
      <w:pPr>
        <w:pStyle w:val="Bodytexttax1"/>
        <w:numPr>
          <w:ilvl w:val="0"/>
          <w:numId w:val="0"/>
        </w:numPr>
        <w:rPr>
          <w:u w:val="single"/>
        </w:rPr>
      </w:pPr>
      <w:r w:rsidRPr="00082101">
        <w:rPr>
          <w:u w:val="single"/>
        </w:rPr>
        <w:t>Effectiveness of instalments as a remedy</w:t>
      </w:r>
    </w:p>
    <w:p w14:paraId="4EA77BB3" w14:textId="0D7336C4" w:rsidR="00082101" w:rsidRDefault="00082101" w:rsidP="00082101">
      <w:pPr>
        <w:pStyle w:val="Bodytexttax1"/>
      </w:pPr>
      <w:r>
        <w:t xml:space="preserve">Finally, Mr Baker and Mr Afzal submit that, even if an instalment basis is a proportionate and appropriate remedy in these circumstances, the minimal deferral period should be five years and all the instalments should be prospective i.e. they should not run until the date of the final determination of these proceedings.  They say this is required by the principle of effectiveness in EU law.  Mr Baldry disputes this submission.  He says that the imposition of an instalment basis from the date of disposal of the assets would not amount to retrospective taxation; the Tribunal would simply be </w:t>
      </w:r>
      <w:proofErr w:type="gramStart"/>
      <w:r>
        <w:t>making a decision</w:t>
      </w:r>
      <w:proofErr w:type="gramEnd"/>
      <w:r>
        <w:t xml:space="preserve"> as to what the law was at the time.</w:t>
      </w:r>
    </w:p>
    <w:p w14:paraId="70F19109" w14:textId="4BDF1D7D" w:rsidR="007750D1" w:rsidRDefault="00FC1052" w:rsidP="00FC1052">
      <w:pPr>
        <w:pStyle w:val="Heading1"/>
      </w:pPr>
      <w:r>
        <w:lastRenderedPageBreak/>
        <w:t>Referral to the CJEU</w:t>
      </w:r>
    </w:p>
    <w:p w14:paraId="1246657C" w14:textId="3232DCE6" w:rsidR="00690079" w:rsidRDefault="00690079" w:rsidP="00966741">
      <w:pPr>
        <w:pStyle w:val="Bodytexttax1"/>
      </w:pPr>
      <w:r>
        <w:t xml:space="preserve">As we have mentioned above, the FTT decided (FTT [338]) that </w:t>
      </w:r>
      <w:r w:rsidR="00894043">
        <w:t xml:space="preserve">it was neither necessary nor appropriate </w:t>
      </w:r>
      <w:r>
        <w:t xml:space="preserve">to </w:t>
      </w:r>
      <w:r w:rsidR="00894043">
        <w:t xml:space="preserve">refer any of the EU law issues to the CJEU for a preliminary ruling.  </w:t>
      </w:r>
      <w:r>
        <w:t xml:space="preserve">In its view, the application of the TFEU to the 2011 Disposal and the 2014 Disposal was clear.  </w:t>
      </w:r>
    </w:p>
    <w:p w14:paraId="2EF435DE" w14:textId="1F479060" w:rsidR="00560E0E" w:rsidRDefault="00560E0E" w:rsidP="00560E0E">
      <w:pPr>
        <w:pStyle w:val="Heading2"/>
      </w:pPr>
      <w:r>
        <w:t>The parties’ submissions</w:t>
      </w:r>
    </w:p>
    <w:p w14:paraId="41784B8F" w14:textId="5061B43C" w:rsidR="00690079" w:rsidRDefault="00690079" w:rsidP="00966741">
      <w:pPr>
        <w:pStyle w:val="Bodytexttax1"/>
      </w:pPr>
      <w:r>
        <w:t xml:space="preserve">Mr Baldry, for HMRC, submits that the FTT was correct in its view that </w:t>
      </w:r>
      <w:proofErr w:type="gramStart"/>
      <w:r>
        <w:t>all of</w:t>
      </w:r>
      <w:proofErr w:type="gramEnd"/>
      <w:r>
        <w:t xml:space="preserve"> the issues could be addressed by the Tribunal </w:t>
      </w:r>
      <w:r w:rsidR="00894043">
        <w:t>on the basis of</w:t>
      </w:r>
      <w:r>
        <w:t xml:space="preserve"> well</w:t>
      </w:r>
      <w:r w:rsidR="00894043">
        <w:t>-</w:t>
      </w:r>
      <w:r>
        <w:t>established principles of CJEU case</w:t>
      </w:r>
      <w:r w:rsidR="00894043">
        <w:t xml:space="preserve"> </w:t>
      </w:r>
      <w:r>
        <w:t>law.  In particular</w:t>
      </w:r>
      <w:r w:rsidR="000D2BA8">
        <w:t>,</w:t>
      </w:r>
      <w:r>
        <w:t xml:space="preserve"> he says:</w:t>
      </w:r>
    </w:p>
    <w:p w14:paraId="176DB301" w14:textId="1FDD0010" w:rsidR="00690079" w:rsidRDefault="00894043" w:rsidP="00690079">
      <w:pPr>
        <w:pStyle w:val="Bodytexttax2"/>
      </w:pPr>
      <w:r>
        <w:t>i</w:t>
      </w:r>
      <w:r w:rsidR="00690079">
        <w:t>n relation to the 2011 Appeal: it is clear that:</w:t>
      </w:r>
    </w:p>
    <w:p w14:paraId="0161A827" w14:textId="1F6555F3" w:rsidR="00690079" w:rsidRDefault="00690079" w:rsidP="00690079">
      <w:pPr>
        <w:pStyle w:val="Bodytexttax4"/>
      </w:pPr>
      <w:r>
        <w:t>Article 63 TFEU has no application to cases involved in legislation which is directed at corporate groups;</w:t>
      </w:r>
    </w:p>
    <w:p w14:paraId="0D9F007B" w14:textId="7A1318E2" w:rsidR="00690079" w:rsidRDefault="00894043" w:rsidP="00690079">
      <w:pPr>
        <w:pStyle w:val="Bodytexttax4"/>
      </w:pPr>
      <w:r>
        <w:t>t</w:t>
      </w:r>
      <w:r w:rsidR="00690079">
        <w:t>here is no restriction on JTIH’s freedom of establishment as the same treatment would apply even if Gall</w:t>
      </w:r>
      <w:r>
        <w:t>ah</w:t>
      </w:r>
      <w:r w:rsidR="00690079">
        <w:t>er’s parent company had been incorporated and resident in the UK;</w:t>
      </w:r>
    </w:p>
    <w:p w14:paraId="2D9B210F" w14:textId="7107D52F" w:rsidR="00690079" w:rsidRDefault="00894043" w:rsidP="00894043">
      <w:pPr>
        <w:pStyle w:val="Bodytexttax2"/>
      </w:pPr>
      <w:r>
        <w:t>i</w:t>
      </w:r>
      <w:r w:rsidR="00690079">
        <w:t xml:space="preserve">n relation to the 2014 Appeal, the only point of issue </w:t>
      </w:r>
      <w:r>
        <w:t>i</w:t>
      </w:r>
      <w:r w:rsidR="00690079">
        <w:t xml:space="preserve">s </w:t>
      </w:r>
      <w:proofErr w:type="gramStart"/>
      <w:r w:rsidR="00690079">
        <w:t>whether or not</w:t>
      </w:r>
      <w:proofErr w:type="gramEnd"/>
      <w:r w:rsidR="00690079">
        <w:t xml:space="preserve"> the imposition of an immediate charge to tax on the disposal was proportionate.  Once again, the </w:t>
      </w:r>
      <w:r>
        <w:t xml:space="preserve">effect of the </w:t>
      </w:r>
      <w:r w:rsidR="00690079">
        <w:t>CJEU case</w:t>
      </w:r>
      <w:r>
        <w:t xml:space="preserve"> </w:t>
      </w:r>
      <w:r w:rsidR="00690079">
        <w:t xml:space="preserve">law </w:t>
      </w:r>
      <w:r>
        <w:t>i</w:t>
      </w:r>
      <w:r w:rsidR="00690079">
        <w:t>s clear</w:t>
      </w:r>
      <w:r>
        <w:t>;</w:t>
      </w:r>
      <w:r w:rsidR="00690079">
        <w:t xml:space="preserve">  </w:t>
      </w:r>
    </w:p>
    <w:p w14:paraId="55DC12B5" w14:textId="3EE2D070" w:rsidR="00690079" w:rsidRDefault="00894043" w:rsidP="00894043">
      <w:pPr>
        <w:pStyle w:val="Bodytexttax2"/>
      </w:pPr>
      <w:r>
        <w:t>t</w:t>
      </w:r>
      <w:r w:rsidR="00690079">
        <w:t xml:space="preserve">he question of remedies </w:t>
      </w:r>
      <w:r>
        <w:t>i</w:t>
      </w:r>
      <w:r w:rsidR="00690079">
        <w:t xml:space="preserve">s a matter for the </w:t>
      </w:r>
      <w:r>
        <w:t>n</w:t>
      </w:r>
      <w:r w:rsidR="00690079">
        <w:t xml:space="preserve">ational </w:t>
      </w:r>
      <w:r>
        <w:t>c</w:t>
      </w:r>
      <w:r w:rsidR="00690079">
        <w:t xml:space="preserve">ourt or </w:t>
      </w:r>
      <w:r>
        <w:t>t</w:t>
      </w:r>
      <w:r w:rsidR="00690079">
        <w:t xml:space="preserve">ribunal. It </w:t>
      </w:r>
      <w:r>
        <w:t>i</w:t>
      </w:r>
      <w:r w:rsidR="00690079">
        <w:t xml:space="preserve">s not a matter for CJEU.  </w:t>
      </w:r>
    </w:p>
    <w:p w14:paraId="4CB1CBDC" w14:textId="2516D580" w:rsidR="00690079" w:rsidRDefault="00690079" w:rsidP="00690079">
      <w:pPr>
        <w:pStyle w:val="Bodytexttax1"/>
      </w:pPr>
      <w:r>
        <w:t xml:space="preserve">Mr Baker and Mr Afzal for Gallaher </w:t>
      </w:r>
      <w:r w:rsidR="007D4078">
        <w:t xml:space="preserve">also </w:t>
      </w:r>
      <w:r>
        <w:t>submit that it is not necessary for this Tribunal to make a reference to the CJEU in relation to the 2011 Appeal or the 2014 Appeal</w:t>
      </w:r>
      <w:r w:rsidR="007D4078">
        <w:t>.  But, they say, that is only the case</w:t>
      </w:r>
      <w:r>
        <w:t xml:space="preserve"> if the Tribunal is proposing to decide both appeals in favour of Gallaher.  </w:t>
      </w:r>
      <w:r w:rsidR="007D4078">
        <w:t xml:space="preserve">If the Tribunal is proposing to determine either appeal against Gallaher, it cannot do so </w:t>
      </w:r>
      <w:r>
        <w:t xml:space="preserve">without making a reference </w:t>
      </w:r>
      <w:r w:rsidR="006C2FCD">
        <w:t>to the CJEU.</w:t>
      </w:r>
    </w:p>
    <w:p w14:paraId="77465872" w14:textId="5B19008C" w:rsidR="00690079" w:rsidRDefault="006C2FCD" w:rsidP="00690079">
      <w:pPr>
        <w:pStyle w:val="Bodytexttax1"/>
      </w:pPr>
      <w:r>
        <w:t>Mr Baker and Mr Afzal refer to various issues, which</w:t>
      </w:r>
      <w:r w:rsidR="000D2BA8">
        <w:t>,</w:t>
      </w:r>
      <w:r>
        <w:t xml:space="preserve"> they </w:t>
      </w:r>
      <w:r w:rsidR="000D2BA8">
        <w:t xml:space="preserve">say, </w:t>
      </w:r>
      <w:r>
        <w:t>would need to be resolved against Gallaher, and which are not “</w:t>
      </w:r>
      <w:proofErr w:type="spellStart"/>
      <w:r>
        <w:t>acte</w:t>
      </w:r>
      <w:proofErr w:type="spellEnd"/>
      <w:r>
        <w:t xml:space="preserve"> </w:t>
      </w:r>
      <w:proofErr w:type="spellStart"/>
      <w:r>
        <w:t>clair</w:t>
      </w:r>
      <w:proofErr w:type="spellEnd"/>
      <w:r>
        <w:t>”:</w:t>
      </w:r>
    </w:p>
    <w:p w14:paraId="673C604D" w14:textId="3932564B" w:rsidR="00690079" w:rsidRDefault="007D4078" w:rsidP="00690079">
      <w:pPr>
        <w:pStyle w:val="Bodytexttax2"/>
      </w:pPr>
      <w:r>
        <w:t>i</w:t>
      </w:r>
      <w:r w:rsidR="00690079">
        <w:t>n relation to the 2011 Appeal:</w:t>
      </w:r>
    </w:p>
    <w:p w14:paraId="7C355EC7" w14:textId="42144718" w:rsidR="006C2FCD" w:rsidRDefault="006C2FCD" w:rsidP="006C2FCD">
      <w:pPr>
        <w:pStyle w:val="Bodytexttax4"/>
        <w:ind w:right="26"/>
      </w:pPr>
      <w:r>
        <w:t>the interaction of Article 49 TFEU and Article 63 TFEU and</w:t>
      </w:r>
      <w:proofErr w:type="gramStart"/>
      <w:r>
        <w:t>, in particular, whether</w:t>
      </w:r>
      <w:proofErr w:type="gramEnd"/>
      <w:r>
        <w:t xml:space="preserve"> it </w:t>
      </w:r>
      <w:r w:rsidR="007D4078">
        <w:t>i</w:t>
      </w:r>
      <w:r>
        <w:t>s possible to rely upon Article 63 in the context of legislation, such as the Group Transfer Rules, which is targeted at groups of companies</w:t>
      </w:r>
      <w:r w:rsidR="00FA63B1">
        <w:t>;</w:t>
      </w:r>
      <w:r>
        <w:t xml:space="preserve"> and, </w:t>
      </w:r>
    </w:p>
    <w:p w14:paraId="3FFC7663" w14:textId="3CE10BC6" w:rsidR="006C2FCD" w:rsidRDefault="006C2FCD" w:rsidP="006C2FCD">
      <w:pPr>
        <w:pStyle w:val="Bodytexttax4"/>
        <w:ind w:right="26"/>
      </w:pPr>
      <w:r>
        <w:t xml:space="preserve">even if Article 63 cannot generally be relied upon in such circumstances, whether the special circumstances of the 2011 Disposal – namely the fact that the company concerned (JTIH) has shareholdings both </w:t>
      </w:r>
      <w:r w:rsidR="000D2BA8">
        <w:t xml:space="preserve">in </w:t>
      </w:r>
      <w:r>
        <w:t xml:space="preserve">a company in the UK on which the tax charge </w:t>
      </w:r>
      <w:r w:rsidR="000D2BA8">
        <w:t>i</w:t>
      </w:r>
      <w:r>
        <w:t>s imposed and in a company in a third country or the fact that the movement of capital occurred between sister companies – affected the analysis;</w:t>
      </w:r>
    </w:p>
    <w:p w14:paraId="451B8D27" w14:textId="32DE39A4" w:rsidR="00690079" w:rsidRDefault="006C2FCD" w:rsidP="00690079">
      <w:pPr>
        <w:pStyle w:val="Bodytexttax4"/>
      </w:pPr>
      <w:r>
        <w:lastRenderedPageBreak/>
        <w:t>w</w:t>
      </w:r>
      <w:r w:rsidR="00690079">
        <w:t xml:space="preserve">hether the </w:t>
      </w:r>
      <w:r w:rsidR="00B473A3">
        <w:t xml:space="preserve">imposition of an immediate charge to tax </w:t>
      </w:r>
      <w:r w:rsidR="00750903">
        <w:t xml:space="preserve">under the Group Transfer Rules </w:t>
      </w:r>
      <w:r w:rsidR="00B473A3">
        <w:t>without an option to defer was a restriction on JTIH’s freedom of establishment or its freedom to move capital</w:t>
      </w:r>
      <w:r w:rsidR="00750903" w:rsidRPr="00750903">
        <w:t xml:space="preserve"> </w:t>
      </w:r>
      <w:r w:rsidR="00750903">
        <w:t>where the transfer of assets was made to a person in a third country</w:t>
      </w:r>
      <w:r w:rsidR="00B473A3">
        <w:t>;</w:t>
      </w:r>
    </w:p>
    <w:p w14:paraId="07B5745F" w14:textId="0C09749D" w:rsidR="00B473A3" w:rsidRDefault="006C2FCD" w:rsidP="00690079">
      <w:pPr>
        <w:pStyle w:val="Bodytexttax4"/>
      </w:pPr>
      <w:r>
        <w:t>w</w:t>
      </w:r>
      <w:r w:rsidR="00B473A3">
        <w:t xml:space="preserve">hether </w:t>
      </w:r>
      <w:r w:rsidR="00750903">
        <w:t>the imposition of an immediate tax charge without the option to defer was proportionate</w:t>
      </w:r>
      <w:r w:rsidR="00B473A3">
        <w:t>;</w:t>
      </w:r>
    </w:p>
    <w:p w14:paraId="1C8AC52B" w14:textId="338094FB" w:rsidR="00B03645" w:rsidRDefault="00750903" w:rsidP="00B03645">
      <w:pPr>
        <w:pStyle w:val="Bodytexttax4"/>
        <w:ind w:right="26"/>
      </w:pPr>
      <w:r>
        <w:t>if it was possible for JTIH to rely upon Article 63 TFEU</w:t>
      </w:r>
      <w:r w:rsidR="000D2BA8">
        <w:t xml:space="preserve"> in relation</w:t>
      </w:r>
      <w:r w:rsidR="00565E4A">
        <w:t xml:space="preserve"> to its movements of capital</w:t>
      </w:r>
      <w:r>
        <w:t xml:space="preserve">, the </w:t>
      </w:r>
      <w:r w:rsidR="00565E4A">
        <w:t>issues surrounding the</w:t>
      </w:r>
      <w:r w:rsidR="00B03645">
        <w:t xml:space="preserve"> application of Articles 64 and 65</w:t>
      </w:r>
      <w:r>
        <w:t>;</w:t>
      </w:r>
    </w:p>
    <w:p w14:paraId="18C06934" w14:textId="5D120EAF" w:rsidR="00B473A3" w:rsidRDefault="00565E4A" w:rsidP="007A691C">
      <w:pPr>
        <w:pStyle w:val="Bodytexttax4"/>
        <w:ind w:right="26"/>
      </w:pPr>
      <w:r>
        <w:t>w</w:t>
      </w:r>
      <w:r w:rsidR="00B473A3">
        <w:t xml:space="preserve">hether the transfer of </w:t>
      </w:r>
      <w:r w:rsidR="007D4078">
        <w:t>the B</w:t>
      </w:r>
      <w:r w:rsidR="00B473A3">
        <w:t xml:space="preserve">rands </w:t>
      </w:r>
      <w:r w:rsidR="000D2BA8">
        <w:t xml:space="preserve">and related assets </w:t>
      </w:r>
      <w:r w:rsidR="00B473A3">
        <w:t>by Gallaher to JTISA was a movement of capital for the purposes of Article 63 TFEU</w:t>
      </w:r>
      <w:r w:rsidR="007D4078">
        <w:t>; and</w:t>
      </w:r>
    </w:p>
    <w:p w14:paraId="5DC75137" w14:textId="27A4AC64" w:rsidR="00B473A3" w:rsidRDefault="007D4078" w:rsidP="00B473A3">
      <w:pPr>
        <w:pStyle w:val="Bodytexttax2"/>
      </w:pPr>
      <w:r>
        <w:t>i</w:t>
      </w:r>
      <w:r w:rsidR="00B473A3">
        <w:t xml:space="preserve">n relation to the 2014 Appeal, </w:t>
      </w:r>
      <w:r w:rsidR="000D2BA8">
        <w:t xml:space="preserve">whether </w:t>
      </w:r>
      <w:r w:rsidR="00B473A3">
        <w:t xml:space="preserve">the imposition of an immediate tax charge without the option to defer was proportionate.  </w:t>
      </w:r>
    </w:p>
    <w:p w14:paraId="71574B39" w14:textId="4D48E715" w:rsidR="00B46FF1" w:rsidRDefault="00B473A3" w:rsidP="003E1FE0">
      <w:pPr>
        <w:pStyle w:val="Bodytexttax1"/>
      </w:pPr>
      <w:r>
        <w:t xml:space="preserve">Mr Baker and Mr Afzal acknowledge that the question of </w:t>
      </w:r>
      <w:r w:rsidR="00565E4A">
        <w:t xml:space="preserve">the form of any remedy is primarily an issue for </w:t>
      </w:r>
      <w:r>
        <w:t xml:space="preserve">the </w:t>
      </w:r>
      <w:r w:rsidR="00565E4A">
        <w:t>n</w:t>
      </w:r>
      <w:r>
        <w:t xml:space="preserve">ational </w:t>
      </w:r>
      <w:r w:rsidR="00565E4A">
        <w:t>c</w:t>
      </w:r>
      <w:r>
        <w:t xml:space="preserve">ourt or </w:t>
      </w:r>
      <w:r w:rsidR="00565E4A">
        <w:t>t</w:t>
      </w:r>
      <w:r>
        <w:t>ribunal.  However</w:t>
      </w:r>
      <w:r w:rsidR="00565E4A">
        <w:t>,</w:t>
      </w:r>
      <w:r>
        <w:t xml:space="preserve"> they s</w:t>
      </w:r>
      <w:r w:rsidR="00565E4A">
        <w:t>ubmit</w:t>
      </w:r>
      <w:r>
        <w:t xml:space="preserve"> that </w:t>
      </w:r>
      <w:r w:rsidR="00096BB0">
        <w:t xml:space="preserve">it is appropriate to make a reference </w:t>
      </w:r>
      <w:r w:rsidR="0026762D">
        <w:t>to the CJEU on</w:t>
      </w:r>
      <w:r w:rsidR="00096BB0">
        <w:t xml:space="preserve"> </w:t>
      </w:r>
      <w:r>
        <w:t xml:space="preserve">questions </w:t>
      </w:r>
      <w:r w:rsidR="00096BB0">
        <w:t>of EU law which imping</w:t>
      </w:r>
      <w:r w:rsidR="0026762D">
        <w:t>e</w:t>
      </w:r>
      <w:r w:rsidR="00096BB0">
        <w:t xml:space="preserve"> upon the nature </w:t>
      </w:r>
      <w:r w:rsidR="0026762D">
        <w:t xml:space="preserve">or form </w:t>
      </w:r>
      <w:r w:rsidR="00096BB0">
        <w:t xml:space="preserve">of the remedy which the </w:t>
      </w:r>
      <w:r w:rsidR="007D4078">
        <w:t xml:space="preserve">national </w:t>
      </w:r>
      <w:r w:rsidR="00096BB0">
        <w:t xml:space="preserve">court or tribunal proposes to grant. </w:t>
      </w:r>
      <w:r w:rsidR="0026762D">
        <w:t>So, for example, i</w:t>
      </w:r>
      <w:r w:rsidR="00565E4A">
        <w:t xml:space="preserve">n the context of the current appeals, </w:t>
      </w:r>
      <w:r w:rsidR="0026762D">
        <w:t xml:space="preserve">it would be appropriate for this Tribunal to refer </w:t>
      </w:r>
      <w:r w:rsidR="00565E4A">
        <w:t>questions,</w:t>
      </w:r>
      <w:r>
        <w:t xml:space="preserve"> such as:</w:t>
      </w:r>
      <w:r w:rsidR="000C5CD0">
        <w:t xml:space="preserve"> (</w:t>
      </w:r>
      <w:proofErr w:type="spellStart"/>
      <w:r w:rsidR="000C5CD0">
        <w:t>i</w:t>
      </w:r>
      <w:proofErr w:type="spellEnd"/>
      <w:r w:rsidR="000C5CD0">
        <w:t>) w</w:t>
      </w:r>
      <w:r>
        <w:t>h</w:t>
      </w:r>
      <w:r w:rsidR="000C5CD0">
        <w:t>ether</w:t>
      </w:r>
      <w:r>
        <w:t xml:space="preserve"> a conforming interpretation</w:t>
      </w:r>
      <w:r w:rsidR="00565E4A">
        <w:t>,</w:t>
      </w:r>
      <w:r>
        <w:t xml:space="preserve"> which </w:t>
      </w:r>
      <w:r w:rsidR="00565E4A">
        <w:t xml:space="preserve">provided </w:t>
      </w:r>
      <w:r>
        <w:t>an option for payment by instalments could be a proportionate remedy;</w:t>
      </w:r>
      <w:r w:rsidR="000C5CD0">
        <w:t xml:space="preserve"> (ii) </w:t>
      </w:r>
      <w:r w:rsidR="00096BB0">
        <w:t xml:space="preserve">even if payment by instalments was a proportionate remedy, </w:t>
      </w:r>
      <w:r w:rsidR="000C5CD0">
        <w:t>w</w:t>
      </w:r>
      <w:r>
        <w:t xml:space="preserve">hether it was possible for a </w:t>
      </w:r>
      <w:r w:rsidR="000C5CD0">
        <w:t>n</w:t>
      </w:r>
      <w:r>
        <w:t xml:space="preserve">ational </w:t>
      </w:r>
      <w:r w:rsidR="000C5CD0">
        <w:t>c</w:t>
      </w:r>
      <w:r>
        <w:t xml:space="preserve">ourt or </w:t>
      </w:r>
      <w:r w:rsidR="000C5CD0">
        <w:t>t</w:t>
      </w:r>
      <w:r>
        <w:t xml:space="preserve">ribunal to require payment by instalments </w:t>
      </w:r>
      <w:r w:rsidR="00565E4A">
        <w:t>by</w:t>
      </w:r>
      <w:r>
        <w:t xml:space="preserve"> a conforming interpretation or disapplication</w:t>
      </w:r>
      <w:r w:rsidR="00B46FF1">
        <w:t>, in circumstances where there was no provision for payment by instalments under existing domestic law;</w:t>
      </w:r>
      <w:r w:rsidR="000C5CD0">
        <w:t xml:space="preserve"> and (iii) w</w:t>
      </w:r>
      <w:r w:rsidR="00B46FF1">
        <w:t xml:space="preserve">hether in deciding between a choice of two proportionate remedies, it was incumbent upon the </w:t>
      </w:r>
      <w:r w:rsidR="000C5CD0">
        <w:t>n</w:t>
      </w:r>
      <w:r w:rsidR="00B46FF1">
        <w:t xml:space="preserve">ational </w:t>
      </w:r>
      <w:r w:rsidR="000C5CD0">
        <w:t>c</w:t>
      </w:r>
      <w:r w:rsidR="00B46FF1">
        <w:t xml:space="preserve">ourt or </w:t>
      </w:r>
      <w:r w:rsidR="000C5CD0">
        <w:t>t</w:t>
      </w:r>
      <w:r w:rsidR="00B46FF1">
        <w:t xml:space="preserve">ribunal to adopt the remedy which imposed the least restriction on the relevant EU treaty freedom.  </w:t>
      </w:r>
      <w:r w:rsidR="0026762D">
        <w:t>A</w:t>
      </w:r>
      <w:r w:rsidR="00B46FF1">
        <w:t xml:space="preserve"> reference might also be made to the CJEU on questions which engaged general principles of EU law.  For example</w:t>
      </w:r>
      <w:r w:rsidR="00096BB0">
        <w:t>,</w:t>
      </w:r>
      <w:r w:rsidR="00B46FF1">
        <w:t xml:space="preserve"> it </w:t>
      </w:r>
      <w:r w:rsidR="00AC1C81">
        <w:t>should be</w:t>
      </w:r>
      <w:r w:rsidR="00B46FF1">
        <w:t xml:space="preserve"> open </w:t>
      </w:r>
      <w:r w:rsidR="008537FC">
        <w:t xml:space="preserve">to </w:t>
      </w:r>
      <w:r w:rsidR="00B46FF1">
        <w:t>this Tribunal to make a reference regarding the effectiveness of any potential remedy</w:t>
      </w:r>
      <w:r w:rsidR="00AC1C81">
        <w:t>,</w:t>
      </w:r>
      <w:r w:rsidR="00B46FF1">
        <w:t xml:space="preserve"> including whether or not it was possible for the court or tribunal to impose a remedy by way of payment by instalments</w:t>
      </w:r>
      <w:r w:rsidR="00AC1C81">
        <w:t>,</w:t>
      </w:r>
      <w:r w:rsidR="00B46FF1">
        <w:t xml:space="preserve"> where the instalment payments began before the date of the final determination of the issues between the parties by the </w:t>
      </w:r>
      <w:r w:rsidR="000C5CD0">
        <w:t>c</w:t>
      </w:r>
      <w:r w:rsidR="00B46FF1">
        <w:t xml:space="preserve">ourt or </w:t>
      </w:r>
      <w:r w:rsidR="000C5CD0">
        <w:t>t</w:t>
      </w:r>
      <w:r w:rsidR="00B46FF1">
        <w:t xml:space="preserve">ribunal.  </w:t>
      </w:r>
    </w:p>
    <w:p w14:paraId="6043C5BF" w14:textId="68F1BD7E" w:rsidR="000C06E5" w:rsidRDefault="000C06E5" w:rsidP="000C06E5">
      <w:pPr>
        <w:pStyle w:val="Heading2"/>
      </w:pPr>
      <w:r>
        <w:t>The appropriate test</w:t>
      </w:r>
    </w:p>
    <w:p w14:paraId="0468DEE0" w14:textId="374CF8AF" w:rsidR="000C06E5" w:rsidRDefault="000C06E5" w:rsidP="000C06E5">
      <w:pPr>
        <w:pStyle w:val="Bodytexttax1"/>
      </w:pPr>
      <w:r>
        <w:t xml:space="preserve">There was no dispute between the parties as to the principles which the courts and tribunals should apply in determining </w:t>
      </w:r>
      <w:proofErr w:type="gramStart"/>
      <w:r>
        <w:t>whether or not</w:t>
      </w:r>
      <w:proofErr w:type="gramEnd"/>
      <w:r>
        <w:t xml:space="preserve"> to make a reference to the CJEU.  The</w:t>
      </w:r>
      <w:r w:rsidR="00E46822">
        <w:t>y</w:t>
      </w:r>
      <w:r>
        <w:t xml:space="preserve"> are summarized by Rose J (as she then was) in </w:t>
      </w:r>
      <w:r w:rsidRPr="000C06E5">
        <w:rPr>
          <w:i/>
          <w:iCs/>
        </w:rPr>
        <w:t>Coal Staff Superannuation Scheme Trustees Limited v Revenue and Customs Commissioners</w:t>
      </w:r>
      <w:r>
        <w:t xml:space="preserve"> [2017] UKUT 137 (“</w:t>
      </w:r>
      <w:r w:rsidRPr="00775CD1">
        <w:rPr>
          <w:i/>
          <w:iCs/>
        </w:rPr>
        <w:t>Coal Staff</w:t>
      </w:r>
      <w:r>
        <w:t>”) at [27], where she said:</w:t>
      </w:r>
    </w:p>
    <w:p w14:paraId="463AF232" w14:textId="781B773A" w:rsidR="000C06E5" w:rsidRPr="000C06E5" w:rsidRDefault="000C06E5" w:rsidP="000C06E5">
      <w:pPr>
        <w:ind w:left="450"/>
        <w:rPr>
          <w:sz w:val="22"/>
          <w:szCs w:val="22"/>
        </w:rPr>
      </w:pPr>
      <w:r w:rsidRPr="000C06E5">
        <w:rPr>
          <w:sz w:val="22"/>
          <w:szCs w:val="22"/>
        </w:rPr>
        <w:t xml:space="preserve">“That test was considered recently by Judge Berner in </w:t>
      </w:r>
      <w:r w:rsidRPr="00E46822">
        <w:rPr>
          <w:i/>
          <w:iCs/>
          <w:sz w:val="22"/>
          <w:szCs w:val="22"/>
        </w:rPr>
        <w:t>Capernwray Missionary Fellowship of Torchbearers v HMRC</w:t>
      </w:r>
      <w:r w:rsidRPr="000C06E5">
        <w:rPr>
          <w:sz w:val="22"/>
          <w:szCs w:val="22"/>
        </w:rPr>
        <w:t xml:space="preserve"> [2015] UKUT 368 ('</w:t>
      </w:r>
      <w:r w:rsidRPr="00E46822">
        <w:rPr>
          <w:i/>
          <w:iCs/>
          <w:sz w:val="22"/>
          <w:szCs w:val="22"/>
        </w:rPr>
        <w:t>Capernwray</w:t>
      </w:r>
      <w:r w:rsidRPr="000C06E5">
        <w:rPr>
          <w:sz w:val="22"/>
          <w:szCs w:val="22"/>
        </w:rPr>
        <w:t xml:space="preserve">'). In that case the parties applied jointly to the Upper Tribunal before the substantive hearing of the taxpayer's </w:t>
      </w:r>
      <w:r w:rsidRPr="000C06E5">
        <w:rPr>
          <w:sz w:val="22"/>
          <w:szCs w:val="22"/>
        </w:rPr>
        <w:lastRenderedPageBreak/>
        <w:t xml:space="preserve">appeal for the Judge to make a reference to the CJEU. Judge Berner referred to the authoritative summary of the approach to be adopted by courts and tribunals in considering whether to make a reference by Sir Thomas Bingham MR in </w:t>
      </w:r>
      <w:r w:rsidRPr="00E46822">
        <w:rPr>
          <w:i/>
          <w:iCs/>
          <w:sz w:val="22"/>
          <w:szCs w:val="22"/>
        </w:rPr>
        <w:t xml:space="preserve">R v International Stock Exchange of the United Kingdom and the Republic of Ireland Ltd ex </w:t>
      </w:r>
      <w:proofErr w:type="spellStart"/>
      <w:r w:rsidRPr="00E46822">
        <w:rPr>
          <w:i/>
          <w:iCs/>
          <w:sz w:val="22"/>
          <w:szCs w:val="22"/>
        </w:rPr>
        <w:t>parte</w:t>
      </w:r>
      <w:proofErr w:type="spellEnd"/>
      <w:r w:rsidRPr="00E46822">
        <w:rPr>
          <w:i/>
          <w:iCs/>
          <w:sz w:val="22"/>
          <w:szCs w:val="22"/>
        </w:rPr>
        <w:t xml:space="preserve"> Else</w:t>
      </w:r>
      <w:r w:rsidRPr="000C06E5">
        <w:rPr>
          <w:sz w:val="22"/>
          <w:szCs w:val="22"/>
        </w:rPr>
        <w:t xml:space="preserve"> </w:t>
      </w:r>
      <w:r w:rsidRPr="00565E4A">
        <w:rPr>
          <w:i/>
          <w:iCs/>
          <w:sz w:val="22"/>
          <w:szCs w:val="22"/>
        </w:rPr>
        <w:t>(1982) Ltd and another</w:t>
      </w:r>
      <w:r w:rsidRPr="000C06E5">
        <w:rPr>
          <w:sz w:val="22"/>
          <w:szCs w:val="22"/>
        </w:rPr>
        <w:t xml:space="preserve"> [1993] QB 534 ('</w:t>
      </w:r>
      <w:r w:rsidRPr="00565E4A">
        <w:rPr>
          <w:i/>
          <w:iCs/>
          <w:sz w:val="22"/>
          <w:szCs w:val="22"/>
        </w:rPr>
        <w:t>Else</w:t>
      </w:r>
      <w:r w:rsidRPr="000C06E5">
        <w:rPr>
          <w:sz w:val="22"/>
          <w:szCs w:val="22"/>
        </w:rPr>
        <w:t xml:space="preserve"> '). At p 545 Lord Bingham said:</w:t>
      </w:r>
    </w:p>
    <w:p w14:paraId="5E6A3231" w14:textId="6936D9F1" w:rsidR="000C06E5" w:rsidRPr="000C06E5" w:rsidRDefault="000C06E5" w:rsidP="00E46822">
      <w:pPr>
        <w:ind w:left="720"/>
        <w:rPr>
          <w:sz w:val="22"/>
          <w:szCs w:val="22"/>
        </w:rPr>
      </w:pPr>
      <w:r w:rsidRPr="000C06E5">
        <w:rPr>
          <w:sz w:val="22"/>
          <w:szCs w:val="22"/>
        </w:rPr>
        <w:t xml:space="preserve">‘… I understand the correct approach in principle of a national court (other than a final court of appeal) to be quite clear: if the facts have been found and the Community law issue is critical to the court's final decision, the appropriate course is ordinarily to refer the issue to the Court of Justice unless the national court can with complete confidence resolve the issue itself. In considering whether it can with complete confidence resolve the issue itself the national court must be fully mindful of the differences between national and Community legislation, of the pitfalls which face a national court venturing into what may be an unfamiliar field, of the need for uniform interpretation throughout the Community and of the great advantages enjoyed by the Court of Justice in construing Community instruments. If the national court has any real doubt, it should ordinarily refer. I am not here attempting to summarise comprehensively the effect of such leading cases as </w:t>
      </w:r>
      <w:r w:rsidRPr="00E46822">
        <w:rPr>
          <w:i/>
          <w:iCs/>
          <w:sz w:val="22"/>
          <w:szCs w:val="22"/>
        </w:rPr>
        <w:t>H. P. Bulmer Ltd. v. J. Bollinger S.A</w:t>
      </w:r>
      <w:r w:rsidRPr="000C06E5">
        <w:rPr>
          <w:sz w:val="22"/>
          <w:szCs w:val="22"/>
        </w:rPr>
        <w:t xml:space="preserve">. [1974] Ch. 401 , </w:t>
      </w:r>
      <w:r w:rsidRPr="00E46822">
        <w:rPr>
          <w:i/>
          <w:iCs/>
          <w:sz w:val="22"/>
          <w:szCs w:val="22"/>
        </w:rPr>
        <w:t>C.I.L.F.I.T. (</w:t>
      </w:r>
      <w:proofErr w:type="spellStart"/>
      <w:r w:rsidRPr="00E46822">
        <w:rPr>
          <w:i/>
          <w:iCs/>
          <w:sz w:val="22"/>
          <w:szCs w:val="22"/>
        </w:rPr>
        <w:t>S.r.l</w:t>
      </w:r>
      <w:proofErr w:type="spellEnd"/>
      <w:r w:rsidRPr="00E46822">
        <w:rPr>
          <w:i/>
          <w:iCs/>
          <w:sz w:val="22"/>
          <w:szCs w:val="22"/>
        </w:rPr>
        <w:t>.) v. Ministry of Health</w:t>
      </w:r>
      <w:r w:rsidRPr="000C06E5">
        <w:rPr>
          <w:sz w:val="22"/>
          <w:szCs w:val="22"/>
        </w:rPr>
        <w:t xml:space="preserve"> (Case 283/81) [1982] E.C.R. 3415 and </w:t>
      </w:r>
      <w:r w:rsidRPr="00E46822">
        <w:rPr>
          <w:i/>
          <w:iCs/>
          <w:sz w:val="22"/>
          <w:szCs w:val="22"/>
        </w:rPr>
        <w:t xml:space="preserve">Reg. v. Pharmaceutical Society of Great Britain, Ex </w:t>
      </w:r>
      <w:proofErr w:type="spellStart"/>
      <w:r w:rsidRPr="00E46822">
        <w:rPr>
          <w:i/>
          <w:iCs/>
          <w:sz w:val="22"/>
          <w:szCs w:val="22"/>
        </w:rPr>
        <w:t>parte</w:t>
      </w:r>
      <w:proofErr w:type="spellEnd"/>
      <w:r w:rsidRPr="00E46822">
        <w:rPr>
          <w:i/>
          <w:iCs/>
          <w:sz w:val="22"/>
          <w:szCs w:val="22"/>
        </w:rPr>
        <w:t xml:space="preserve"> Association of Pharmaceutical Importers</w:t>
      </w:r>
      <w:r w:rsidRPr="000C06E5">
        <w:rPr>
          <w:sz w:val="22"/>
          <w:szCs w:val="22"/>
        </w:rPr>
        <w:t xml:space="preserve"> [1987] 3 C.M.L.R. 951, but I hope I am fairly expressing their essential point.’</w:t>
      </w:r>
      <w:r w:rsidR="00E46822">
        <w:rPr>
          <w:sz w:val="22"/>
          <w:szCs w:val="22"/>
        </w:rPr>
        <w:t xml:space="preserve"> ”</w:t>
      </w:r>
    </w:p>
    <w:p w14:paraId="2B146D53" w14:textId="7809685D" w:rsidR="000C06E5" w:rsidRDefault="004511F8" w:rsidP="000C06E5">
      <w:pPr>
        <w:pStyle w:val="Bodytexttax1"/>
      </w:pPr>
      <w:r>
        <w:t>W</w:t>
      </w:r>
      <w:r w:rsidR="000C06E5">
        <w:t>e should make a reference if (</w:t>
      </w:r>
      <w:proofErr w:type="spellStart"/>
      <w:r w:rsidR="000C06E5">
        <w:t>i</w:t>
      </w:r>
      <w:proofErr w:type="spellEnd"/>
      <w:r w:rsidR="000C06E5">
        <w:t>) a matter of EU law is critical to our decision and (ii) we cannot “without complete confidence” resolve the issue</w:t>
      </w:r>
      <w:r w:rsidR="009E0155">
        <w:t>s</w:t>
      </w:r>
      <w:r w:rsidR="000C06E5">
        <w:t xml:space="preserve"> ourselves.  As Rose J noted in the </w:t>
      </w:r>
      <w:r w:rsidR="000C06E5" w:rsidRPr="00E46822">
        <w:rPr>
          <w:i/>
          <w:iCs/>
        </w:rPr>
        <w:t>Coal Staff</w:t>
      </w:r>
      <w:r w:rsidR="000C06E5">
        <w:t xml:space="preserve"> case (at [28]), in considering these issues, we should have regard to factors such as the nature of the issues, whether they are likely to have application beyond the particular facts of this case, and the existence or absence of an established body of case law of the CJEU setting out the principles that should be applied to these facts.</w:t>
      </w:r>
    </w:p>
    <w:p w14:paraId="6E76E0CB" w14:textId="068E081E" w:rsidR="00560E0E" w:rsidRDefault="00560E0E" w:rsidP="00560E0E">
      <w:pPr>
        <w:pStyle w:val="Heading2"/>
      </w:pPr>
      <w:r>
        <w:t>The effect of the UK’s withdrawal from the EU</w:t>
      </w:r>
    </w:p>
    <w:p w14:paraId="11DA1C7A" w14:textId="4162EEBE" w:rsidR="00560E0E" w:rsidRDefault="00775CD1" w:rsidP="000C06E5">
      <w:pPr>
        <w:pStyle w:val="Bodytexttax1"/>
      </w:pPr>
      <w:r>
        <w:t xml:space="preserve">We note, in passing, that the legislation which governs the UK’s withdrawal from the EU provides that a UK court or tribunal cannot refer any matter to the CJEU on or after “IP completion day”, which is at 11pm on 31 </w:t>
      </w:r>
      <w:r w:rsidR="005778E7">
        <w:t>December</w:t>
      </w:r>
      <w:r>
        <w:t xml:space="preserve"> 2020 (s6(1)(b) EUWA 2018 as amended by s26(1) European Union (Withdrawal Agreement) Act 2020).  </w:t>
      </w:r>
      <w:r w:rsidR="005778E7">
        <w:t>There is nothing in the legislation to suggest that the impending withdrawal of the power of the courts to make a reference to the CJEU should affect our approach to the question as to whether a reference should be made in this case.</w:t>
      </w:r>
    </w:p>
    <w:p w14:paraId="49B2D5BB" w14:textId="77777777" w:rsidR="000C06E5" w:rsidRDefault="000C06E5" w:rsidP="00E46822">
      <w:pPr>
        <w:pStyle w:val="Heading2"/>
      </w:pPr>
      <w:r>
        <w:t>Application to the facts of this case</w:t>
      </w:r>
    </w:p>
    <w:p w14:paraId="6CBE32D5" w14:textId="77777777" w:rsidR="000C06E5" w:rsidRDefault="000C06E5" w:rsidP="000C06E5">
      <w:pPr>
        <w:pStyle w:val="Bodytexttax1"/>
      </w:pPr>
      <w:r>
        <w:t xml:space="preserve">We have considered the issues that have been argued before us and have reached the conclusion that, having taken into account the various factors set out by Rose J in the </w:t>
      </w:r>
      <w:r w:rsidRPr="00E46822">
        <w:rPr>
          <w:i/>
          <w:iCs/>
        </w:rPr>
        <w:t>Coal Staff</w:t>
      </w:r>
      <w:r>
        <w:t xml:space="preserve"> case, we should make a reference to the CJEU for a preliminary ruling in respect of each of the following issues:</w:t>
      </w:r>
    </w:p>
    <w:p w14:paraId="697C6CB3" w14:textId="00D5F78C" w:rsidR="00E13652" w:rsidRDefault="006C6E1C" w:rsidP="00E13652">
      <w:pPr>
        <w:pStyle w:val="Bodytexttax2"/>
      </w:pPr>
      <w:r>
        <w:lastRenderedPageBreak/>
        <w:t>W</w:t>
      </w:r>
      <w:r w:rsidR="00E13652">
        <w:t xml:space="preserve">hether Article 63 TFEU can be relied upon in relation to domestic legislation such as the Group Transfer Rules, which applies to groups of companies? </w:t>
      </w:r>
    </w:p>
    <w:p w14:paraId="6563106D" w14:textId="4BE1FE87" w:rsidR="00E13652" w:rsidRDefault="006C6E1C" w:rsidP="00E13652">
      <w:pPr>
        <w:pStyle w:val="Bodytexttax2"/>
      </w:pPr>
      <w:r>
        <w:t>E</w:t>
      </w:r>
      <w:r w:rsidR="00E13652">
        <w:t>ven if Article 63 TFEU cannot more generally</w:t>
      </w:r>
      <w:r w:rsidR="007733ED">
        <w:t xml:space="preserve"> be relied upon</w:t>
      </w:r>
      <w:r w:rsidR="00E13652">
        <w:t xml:space="preserve">, can it nonetheless be relied upon: </w:t>
      </w:r>
    </w:p>
    <w:p w14:paraId="247A1A0A" w14:textId="77777777" w:rsidR="00E13652" w:rsidRDefault="00E13652" w:rsidP="00E13652">
      <w:pPr>
        <w:pStyle w:val="Bodytexttax4"/>
      </w:pPr>
      <w:r>
        <w:t xml:space="preserve">in relation to movements of capital from a parent company resident in an EU member state to a Swiss resident subsidiary, where the parent company has shareholdings in both the Swiss resident subsidiary and the UK resident subsidiary on which the tax charge is imposed? </w:t>
      </w:r>
    </w:p>
    <w:p w14:paraId="7B45AF72" w14:textId="62B73BA0" w:rsidR="00E13652" w:rsidRDefault="00E13652" w:rsidP="00E13652">
      <w:pPr>
        <w:pStyle w:val="Bodytexttax4"/>
      </w:pPr>
      <w:r>
        <w:t xml:space="preserve">in relation to a movement of capital by a subsidiary resident in the UK to a Swiss resident subsidiary of the same parent company resident in an EU member state, given that the two companies are sister companies and not in a parent-subsidiary relationship? </w:t>
      </w:r>
    </w:p>
    <w:p w14:paraId="3F98A6AC" w14:textId="22D211E3" w:rsidR="000C06E5" w:rsidRDefault="006C6E1C" w:rsidP="00E46822">
      <w:pPr>
        <w:pStyle w:val="Bodytexttax2"/>
      </w:pPr>
      <w:r>
        <w:t>W</w:t>
      </w:r>
      <w:r w:rsidR="000C06E5">
        <w:t xml:space="preserve">hether legislation, such as the Group Transfer Rules, which imposes an immediate tax charge on a transfer of assets from a </w:t>
      </w:r>
      <w:r w:rsidR="007D4078">
        <w:t xml:space="preserve">UK </w:t>
      </w:r>
      <w:r w:rsidR="000C06E5">
        <w:t xml:space="preserve">resident company to a sister company which is resident in Switzerland (and does not carry on a trade in the UK through a permanent establishment), where both </w:t>
      </w:r>
      <w:r w:rsidR="007D4078">
        <w:t xml:space="preserve">of those companies </w:t>
      </w:r>
      <w:r w:rsidR="000C06E5">
        <w:t xml:space="preserve">are subsidiaries of a </w:t>
      </w:r>
      <w:r w:rsidR="007D4078">
        <w:t xml:space="preserve">common </w:t>
      </w:r>
      <w:r w:rsidR="000C06E5">
        <w:t>parent company</w:t>
      </w:r>
      <w:r w:rsidR="008537FC">
        <w:t>,</w:t>
      </w:r>
      <w:r w:rsidR="000C06E5">
        <w:t xml:space="preserve"> which is resident in another </w:t>
      </w:r>
      <w:r w:rsidR="007D4078">
        <w:t>m</w:t>
      </w:r>
      <w:r w:rsidR="000C06E5">
        <w:t xml:space="preserve">ember </w:t>
      </w:r>
      <w:r w:rsidR="007D4078">
        <w:t>s</w:t>
      </w:r>
      <w:r w:rsidR="000C06E5">
        <w:t>tate</w:t>
      </w:r>
      <w:r w:rsidR="008537FC">
        <w:t>,</w:t>
      </w:r>
      <w:r w:rsidR="000C06E5">
        <w:t xml:space="preserve"> in circumstances where such a transfer would be made on a tax neutral basis if the sister company were also resident in the UK (or carried on a trade in the UK through a permanent establishment)</w:t>
      </w:r>
      <w:r w:rsidR="008537FC">
        <w:t>,</w:t>
      </w:r>
      <w:r w:rsidR="000C06E5">
        <w:t xml:space="preserve"> constitutes a restriction on the freedom of establishment of the parent company in Article 49 TFEU</w:t>
      </w:r>
      <w:r w:rsidR="00E13652">
        <w:t xml:space="preserve"> or, if relevant,</w:t>
      </w:r>
      <w:r w:rsidR="00E13652" w:rsidRPr="00E13652">
        <w:t xml:space="preserve"> </w:t>
      </w:r>
      <w:r w:rsidR="00E13652">
        <w:t>a restriction on the freedom to move capital in Article 63 TFEU</w:t>
      </w:r>
      <w:r w:rsidR="000C06E5">
        <w:t xml:space="preserve">? </w:t>
      </w:r>
    </w:p>
    <w:p w14:paraId="51627E83" w14:textId="6DAB48F7" w:rsidR="00E13652" w:rsidRDefault="006C6E1C" w:rsidP="00E46822">
      <w:pPr>
        <w:pStyle w:val="Bodytexttax2"/>
      </w:pPr>
      <w:r>
        <w:t>A</w:t>
      </w:r>
      <w:r w:rsidR="000C06E5">
        <w:t>ssuming Article 63 TFEU can be relied upon</w:t>
      </w:r>
      <w:r w:rsidR="00E13652">
        <w:t>:</w:t>
      </w:r>
    </w:p>
    <w:p w14:paraId="23B27A6D" w14:textId="4541F6F3" w:rsidR="000C06E5" w:rsidRDefault="000C06E5" w:rsidP="00E13652">
      <w:pPr>
        <w:pStyle w:val="Bodytexttax4"/>
      </w:pPr>
      <w:r>
        <w:t xml:space="preserve"> was the transfer of the </w:t>
      </w:r>
      <w:r w:rsidR="00750903">
        <w:t>Brands</w:t>
      </w:r>
      <w:r>
        <w:t xml:space="preserve"> </w:t>
      </w:r>
      <w:r w:rsidR="008537FC">
        <w:t xml:space="preserve">and related assets </w:t>
      </w:r>
      <w:r>
        <w:t>by Gallaher to JTISA</w:t>
      </w:r>
      <w:r w:rsidR="007D4078">
        <w:t>,</w:t>
      </w:r>
      <w:r w:rsidR="00E13652">
        <w:t xml:space="preserve"> for a consideration which </w:t>
      </w:r>
      <w:r w:rsidR="007D4078">
        <w:t>was intended to reflect the market value of the Brands,</w:t>
      </w:r>
      <w:r>
        <w:t xml:space="preserve"> a movement of capital for the purposes of Article 63 TFEU? </w:t>
      </w:r>
    </w:p>
    <w:p w14:paraId="110F5ED3" w14:textId="20033493" w:rsidR="000C06E5" w:rsidRDefault="000C06E5" w:rsidP="00E13652">
      <w:pPr>
        <w:pStyle w:val="Bodytexttax4"/>
      </w:pPr>
      <w:r>
        <w:t xml:space="preserve">did the movements of capital by </w:t>
      </w:r>
      <w:r w:rsidR="00E13652">
        <w:t>JTIH</w:t>
      </w:r>
      <w:r>
        <w:t xml:space="preserve"> to </w:t>
      </w:r>
      <w:r w:rsidR="00E13652">
        <w:t xml:space="preserve">JTISA, its </w:t>
      </w:r>
      <w:r>
        <w:t>Swiss resident subsidiary</w:t>
      </w:r>
      <w:r w:rsidR="00E13652">
        <w:t>,</w:t>
      </w:r>
      <w:r>
        <w:t xml:space="preserve"> constitute direct investments for the purposes of Article 64 TFEU? </w:t>
      </w:r>
    </w:p>
    <w:p w14:paraId="15B5731C" w14:textId="6199DA75" w:rsidR="000C06E5" w:rsidRDefault="000C06E5" w:rsidP="00E13652">
      <w:pPr>
        <w:pStyle w:val="Bodytexttax4"/>
      </w:pPr>
      <w:r>
        <w:t xml:space="preserve">given that Article 64 TFEU only applies to certain types of capital movement, can Article </w:t>
      </w:r>
      <w:r w:rsidR="00E13652">
        <w:t xml:space="preserve">64 </w:t>
      </w:r>
      <w:r>
        <w:t>apply in circumstances where movements of capital can be characterized as both direct investments (which are referred to in Article 64 TFEU) and also as another type of capital movement not referred to in Article 64 TFEU?</w:t>
      </w:r>
    </w:p>
    <w:p w14:paraId="4431851C" w14:textId="77777777" w:rsidR="000C06E5" w:rsidRDefault="000C06E5" w:rsidP="00E46822">
      <w:pPr>
        <w:pStyle w:val="Bodytexttax2"/>
      </w:pPr>
      <w:r>
        <w:t>if there was a breach of the freedom of establishment and/or of the right to free movement of capital:</w:t>
      </w:r>
    </w:p>
    <w:p w14:paraId="3ACC5ECF" w14:textId="75091D66" w:rsidR="000C06E5" w:rsidRDefault="000C06E5" w:rsidP="00E46822">
      <w:pPr>
        <w:pStyle w:val="Bodytexttax4"/>
      </w:pPr>
      <w:r>
        <w:lastRenderedPageBreak/>
        <w:t xml:space="preserve">does EU law require that the domestic legislation be interpreted or disapplied in a manner which provides Gallaher </w:t>
      </w:r>
      <w:r w:rsidR="007D4078">
        <w:t xml:space="preserve">with </w:t>
      </w:r>
      <w:r>
        <w:t>an option to defer the payment of tax;</w:t>
      </w:r>
    </w:p>
    <w:p w14:paraId="4D5E0AA8" w14:textId="57786458" w:rsidR="000C06E5" w:rsidRDefault="000C06E5" w:rsidP="00E46822">
      <w:pPr>
        <w:pStyle w:val="Bodytexttax4"/>
      </w:pPr>
      <w:r>
        <w:t xml:space="preserve">if so does EU law require that the domestic legislation be interpreted or disapplied in a manner which provides Gallaher </w:t>
      </w:r>
      <w:r w:rsidR="009313B2">
        <w:t xml:space="preserve">with </w:t>
      </w:r>
      <w:r>
        <w:t xml:space="preserve">an option to defer the payment of tax until the assets are disposed of outside the sub-group of which the company resident in the other Member State is parent (i.e. “on a realization basis”) or is an option to pay tax in instalments (i.e. “on an instalment basis”) capable of providing a proportionate remedy; </w:t>
      </w:r>
    </w:p>
    <w:p w14:paraId="2BCBB89B" w14:textId="1BDFB52D" w:rsidR="000C06E5" w:rsidRDefault="000C06E5" w:rsidP="00E46822">
      <w:pPr>
        <w:pStyle w:val="Bodytexttax4"/>
      </w:pPr>
      <w:r>
        <w:t xml:space="preserve">if, in principle, an option to pay tax by instalments </w:t>
      </w:r>
      <w:r w:rsidR="007D4078">
        <w:t>is capable of being a proportionate remedy</w:t>
      </w:r>
      <w:r>
        <w:t xml:space="preserve">: </w:t>
      </w:r>
    </w:p>
    <w:p w14:paraId="4175E986" w14:textId="77777777" w:rsidR="000C06E5" w:rsidRDefault="000C06E5" w:rsidP="00C43C01">
      <w:pPr>
        <w:pStyle w:val="Bodytexttax4"/>
        <w:numPr>
          <w:ilvl w:val="0"/>
          <w:numId w:val="2"/>
        </w:numPr>
      </w:pPr>
      <w:r>
        <w:t xml:space="preserve">is that only the case if domestic law contained the option at the time of the disposals of assets, or is it compatible with EU law for such an option to be provided by way of remedy after the event; </w:t>
      </w:r>
    </w:p>
    <w:p w14:paraId="638CA400" w14:textId="77777777" w:rsidR="000C06E5" w:rsidRDefault="000C06E5" w:rsidP="00C43C01">
      <w:pPr>
        <w:pStyle w:val="Bodytexttax4"/>
        <w:numPr>
          <w:ilvl w:val="0"/>
          <w:numId w:val="2"/>
        </w:numPr>
      </w:pPr>
      <w:r>
        <w:t xml:space="preserve">does EU law require national courts to provide a remedy which interferes with the relevant EU law freedom to the least possible extent, or is it sufficient for the national courts to provide a remedy which, whilst proportionate, departs from the existing national law to the minimum extent possible; </w:t>
      </w:r>
    </w:p>
    <w:p w14:paraId="257C8A8A" w14:textId="77777777" w:rsidR="000C06E5" w:rsidRDefault="000C06E5" w:rsidP="00C43C01">
      <w:pPr>
        <w:pStyle w:val="Bodytexttax4"/>
        <w:numPr>
          <w:ilvl w:val="0"/>
          <w:numId w:val="2"/>
        </w:numPr>
      </w:pPr>
      <w:r>
        <w:t xml:space="preserve">what period of instalments is necessary; and </w:t>
      </w:r>
    </w:p>
    <w:p w14:paraId="35DB913F" w14:textId="264F808E" w:rsidR="000C06E5" w:rsidRDefault="000C06E5" w:rsidP="00C43C01">
      <w:pPr>
        <w:pStyle w:val="Bodytexttax4"/>
        <w:numPr>
          <w:ilvl w:val="0"/>
          <w:numId w:val="2"/>
        </w:numPr>
      </w:pPr>
      <w:r>
        <w:t>is a remedy involving a</w:t>
      </w:r>
      <w:r w:rsidR="007D4078">
        <w:t>n</w:t>
      </w:r>
      <w:r>
        <w:t xml:space="preserve"> instalment plan </w:t>
      </w:r>
      <w:r w:rsidR="009C0D94">
        <w:t xml:space="preserve">in which payments fall due prior to the date on which the issues between the parties are finally determined </w:t>
      </w:r>
      <w:r>
        <w:t xml:space="preserve">in breach of EU law, i.e. must the instalment due dates be prospective? </w:t>
      </w:r>
    </w:p>
    <w:p w14:paraId="376476D0" w14:textId="6B5D4D6D" w:rsidR="007D3978" w:rsidRDefault="000C06E5" w:rsidP="000C06E5">
      <w:pPr>
        <w:pStyle w:val="Bodytexttax1"/>
      </w:pPr>
      <w:r>
        <w:t>As can be seen from our summary of the arguments that have been made before us,</w:t>
      </w:r>
      <w:r w:rsidR="007D3978" w:rsidRPr="007D3978">
        <w:t xml:space="preserve"> despite the existence of a material body of CJEU case law which relates to broadly analogous situations, there is no authority to which we have been referred, which deals directly with legislation </w:t>
      </w:r>
      <w:r w:rsidR="009313B2">
        <w:t>such as this,</w:t>
      </w:r>
      <w:r w:rsidR="007D3978" w:rsidRPr="007D3978">
        <w:t xml:space="preserve"> which provides for tax neutral treatment of intragroup transfers of assets </w:t>
      </w:r>
      <w:r w:rsidR="009313B2">
        <w:t xml:space="preserve">and can apply in cases </w:t>
      </w:r>
      <w:r w:rsidR="007D3978" w:rsidRPr="007D3978">
        <w:t xml:space="preserve">where the taxpayer company has realized a full market value consideration for the transfer.  As a result, in respect of many of these issues, it is possible reasonably to hold differing views as to the implications of the application of the existing CJEU case law to the facts of these appeals. </w:t>
      </w:r>
    </w:p>
    <w:p w14:paraId="435FF1CE" w14:textId="46048B65" w:rsidR="000C06E5" w:rsidRDefault="000C06E5" w:rsidP="000C06E5">
      <w:pPr>
        <w:pStyle w:val="Bodytexttax1"/>
      </w:pPr>
      <w:r>
        <w:t>By way of example:</w:t>
      </w:r>
    </w:p>
    <w:p w14:paraId="52CC5675" w14:textId="4B019F0A" w:rsidR="000C06E5" w:rsidRDefault="000C06E5" w:rsidP="00E46822">
      <w:pPr>
        <w:pStyle w:val="Bodytexttax2"/>
      </w:pPr>
      <w:r>
        <w:lastRenderedPageBreak/>
        <w:t>in the context of the interaction of Article 49 and Article 63 TFEU and, in particular, whether Gallaher can rely on Article 63 in addition to or as an alternative to Art</w:t>
      </w:r>
      <w:r w:rsidR="009313B2">
        <w:t>icle</w:t>
      </w:r>
      <w:r>
        <w:t xml:space="preserve"> 49 in the context of legislation which applies only to groups of companies</w:t>
      </w:r>
      <w:r w:rsidR="009C0D94">
        <w:t>,</w:t>
      </w:r>
      <w:r>
        <w:t xml:space="preserve"> Mr Baker raises material issues which are not addressed by the existing case law concerning the application of the existing case law to facts in which there may be more than one movement of capital by JTIH to which the freedom applies or to facts involving a potential movement of capital by a company (Gallaher) which cannot be exercising a freedom of establishment under </w:t>
      </w:r>
      <w:r w:rsidR="009313B2">
        <w:t>A</w:t>
      </w:r>
      <w:r>
        <w:t>rticle 49;</w:t>
      </w:r>
    </w:p>
    <w:p w14:paraId="041DB28E" w14:textId="1254F7F5" w:rsidR="000C06E5" w:rsidRDefault="000C06E5" w:rsidP="00E46822">
      <w:pPr>
        <w:pStyle w:val="Bodytexttax2"/>
      </w:pPr>
      <w:r>
        <w:t>whether, on the facts of the 2011 Appeal, the implication of the reasoning in</w:t>
      </w:r>
      <w:r w:rsidR="008537FC">
        <w:t xml:space="preserve"> the</w:t>
      </w:r>
      <w:r>
        <w:t xml:space="preserve"> </w:t>
      </w:r>
      <w:r w:rsidRPr="009313B2">
        <w:rPr>
          <w:i/>
          <w:iCs/>
        </w:rPr>
        <w:t>Thin Cap</w:t>
      </w:r>
      <w:r>
        <w:t xml:space="preserve"> case is that the Group Transfer Rules can represent a restriction on the exercise of JTIH’s freedoms (under Article 49 or Article 63) even though the same immediate tax charge would have arisen on a disposal of </w:t>
      </w:r>
      <w:r w:rsidR="009313B2">
        <w:t xml:space="preserve">the Brands </w:t>
      </w:r>
      <w:r w:rsidR="008537FC">
        <w:t xml:space="preserve">and related assets </w:t>
      </w:r>
      <w:r w:rsidR="009313B2">
        <w:t>by Gallaher to JTISA</w:t>
      </w:r>
      <w:r>
        <w:t xml:space="preserve"> even if the parent company (JTIH) had been resident in the UK for tax purposes;</w:t>
      </w:r>
    </w:p>
    <w:p w14:paraId="0257A238" w14:textId="77777777" w:rsidR="000C06E5" w:rsidRDefault="000C06E5" w:rsidP="00E46822">
      <w:pPr>
        <w:pStyle w:val="Bodytexttax2"/>
      </w:pPr>
      <w:r>
        <w:t xml:space="preserve">in determining, on the facts of the 2011 Appeal or the 2014 Appeal, whether any restriction which is imposed by the Group Transfer Rules on the exercise of the treaty freedoms is justified and proportionate, whether it is appropriate to extend the principles in the exit tax cases (such as </w:t>
      </w:r>
      <w:r w:rsidRPr="009313B2">
        <w:rPr>
          <w:i/>
          <w:iCs/>
        </w:rPr>
        <w:t>NGI</w:t>
      </w:r>
      <w:r>
        <w:t>) to cases where the taxpayer in question (Gallaher) has realized proceeds for the disposal of the asset equal to the full market value of the asset;</w:t>
      </w:r>
    </w:p>
    <w:p w14:paraId="76F6ED65" w14:textId="40AE732A" w:rsidR="000C06E5" w:rsidRDefault="000C06E5" w:rsidP="00E46822">
      <w:pPr>
        <w:pStyle w:val="Bodytexttax2"/>
      </w:pPr>
      <w:r>
        <w:t>in the context of the remedies available to this Tribunal, whether it is open to this Tribunal to provide, by conforming interpretation or disapplication, for the payment of tax by instalments where there was, at the time of the disposals in question, no applicable provision for the payment of tax by instalments in the Group Transfer Rules.</w:t>
      </w:r>
    </w:p>
    <w:p w14:paraId="79FE3E97" w14:textId="09532521" w:rsidR="000C06E5" w:rsidRDefault="000C06E5" w:rsidP="000C06E5">
      <w:pPr>
        <w:pStyle w:val="Bodytexttax1"/>
      </w:pPr>
      <w:r>
        <w:t xml:space="preserve">These </w:t>
      </w:r>
      <w:r w:rsidR="009313B2">
        <w:t xml:space="preserve">are </w:t>
      </w:r>
      <w:r>
        <w:t>material issues of EU law</w:t>
      </w:r>
      <w:r w:rsidR="009313B2">
        <w:t>, which are critical to our decision.</w:t>
      </w:r>
      <w:r>
        <w:t xml:space="preserve">  Whilst we would ordinarily be quite prepared to reach a decision on them, we cannot resolve the issues “with </w:t>
      </w:r>
      <w:r w:rsidR="008537FC">
        <w:t>complete</w:t>
      </w:r>
      <w:r>
        <w:t xml:space="preserve"> confidence” </w:t>
      </w:r>
      <w:r w:rsidR="00DC288B">
        <w:t>as</w:t>
      </w:r>
      <w:r>
        <w:t xml:space="preserve"> required by the test set out by </w:t>
      </w:r>
      <w:r w:rsidR="00565E4A">
        <w:t>Sir Thomas</w:t>
      </w:r>
      <w:r>
        <w:t xml:space="preserve"> Bingham </w:t>
      </w:r>
      <w:r w:rsidR="00565E4A">
        <w:t xml:space="preserve">MR </w:t>
      </w:r>
      <w:r>
        <w:t xml:space="preserve">in </w:t>
      </w:r>
      <w:r w:rsidR="00565E4A" w:rsidRPr="009313B2">
        <w:rPr>
          <w:i/>
          <w:iCs/>
          <w:szCs w:val="24"/>
        </w:rPr>
        <w:t xml:space="preserve">R v International Stock Exchange of the United Kingdom and the Republic of Ireland Ltd ex </w:t>
      </w:r>
      <w:proofErr w:type="spellStart"/>
      <w:r w:rsidR="00565E4A" w:rsidRPr="009313B2">
        <w:rPr>
          <w:i/>
          <w:iCs/>
          <w:szCs w:val="24"/>
        </w:rPr>
        <w:t>parte</w:t>
      </w:r>
      <w:proofErr w:type="spellEnd"/>
      <w:r w:rsidR="00565E4A" w:rsidRPr="009313B2">
        <w:rPr>
          <w:i/>
          <w:iCs/>
          <w:szCs w:val="24"/>
        </w:rPr>
        <w:t xml:space="preserve"> Else</w:t>
      </w:r>
      <w:r w:rsidR="00565E4A" w:rsidRPr="009313B2">
        <w:rPr>
          <w:szCs w:val="24"/>
        </w:rPr>
        <w:t xml:space="preserve"> </w:t>
      </w:r>
      <w:r w:rsidR="00565E4A" w:rsidRPr="009313B2">
        <w:rPr>
          <w:i/>
          <w:iCs/>
          <w:szCs w:val="24"/>
        </w:rPr>
        <w:t>(1982) Ltd and another</w:t>
      </w:r>
      <w:r w:rsidR="00565E4A" w:rsidRPr="009313B2">
        <w:rPr>
          <w:szCs w:val="24"/>
        </w:rPr>
        <w:t xml:space="preserve"> [1993] QB 534</w:t>
      </w:r>
      <w:r w:rsidR="00565E4A" w:rsidRPr="000C06E5">
        <w:rPr>
          <w:sz w:val="22"/>
          <w:szCs w:val="22"/>
        </w:rPr>
        <w:t xml:space="preserve"> </w:t>
      </w:r>
      <w:r>
        <w:t xml:space="preserve">and referred to by Rose J in her decision in the </w:t>
      </w:r>
      <w:r w:rsidRPr="00E46822">
        <w:rPr>
          <w:i/>
          <w:iCs/>
        </w:rPr>
        <w:t>Coal Staff</w:t>
      </w:r>
      <w:r>
        <w:t xml:space="preserve"> case</w:t>
      </w:r>
      <w:r w:rsidR="00E46822">
        <w:t>.</w:t>
      </w:r>
      <w:r w:rsidR="00DC288B">
        <w:t xml:space="preserve">  The other issues to which we refer at [</w:t>
      </w:r>
      <w:r w:rsidR="009C0D94" w:rsidRPr="00DD2F7F">
        <w:t>83</w:t>
      </w:r>
      <w:r w:rsidR="00DC288B">
        <w:t>] above are consequential questions which arise from them.</w:t>
      </w:r>
    </w:p>
    <w:p w14:paraId="44E71863" w14:textId="77777777" w:rsidR="007D3978" w:rsidRDefault="007D3978" w:rsidP="007D3978">
      <w:pPr>
        <w:pStyle w:val="Bodytexttax1"/>
      </w:pPr>
      <w:r>
        <w:t xml:space="preserve">Furthermore, it seems to us that the decisions in these appeals are likely to have application beyond the particular facts of this case. </w:t>
      </w:r>
    </w:p>
    <w:p w14:paraId="709F79DC" w14:textId="77777777" w:rsidR="007D3978" w:rsidRDefault="007D3978" w:rsidP="007D3978">
      <w:pPr>
        <w:pStyle w:val="Bodytexttax1"/>
      </w:pPr>
      <w:r>
        <w:t xml:space="preserve">We note that, following the FTT decision in these appeals, the Government introduced legislation to permit UK resident companies to enter into payment plans and to pay tax by instalments in relation to intragroup transfers of assets to companies resident in EEA member states under various regimes which form part of UK tax law, including those covered by the Group Transfer Rules.  (Those provisions were introduced by s34 of and Schedule 7 to the Finance Act 2020 and are now found in s59FB TMA 1970 and Schedule 3ZC TMA 1970.)  They apply to all accounting periods ending on or after 10 October 2018.  </w:t>
      </w:r>
    </w:p>
    <w:p w14:paraId="7C9EF34E" w14:textId="2F35C7F4" w:rsidR="00B46FF1" w:rsidRDefault="007D3978" w:rsidP="007D3978">
      <w:pPr>
        <w:pStyle w:val="Bodytexttax1"/>
      </w:pPr>
      <w:r>
        <w:lastRenderedPageBreak/>
        <w:t xml:space="preserve">We have not heard argument on this point, but it seems to us that the responses of the CJEU to the questions that we have raised may well inform the interpretation of the new instalment regime.  Even if the introduction of the new instalment regime is sufficient to ensure that the Group Transfer Rules are regarded as compliant with EU law for periods ending on or after 10 October 2018, there remains the question of the application of the Group Transfer Rules to the treatment of transfers in prior periods.     Beyond the implications of the questions that we have raised for provisions of UK tax law, the transfer of assets between group companies is a relatively common transaction and we </w:t>
      </w:r>
      <w:r w:rsidR="00DC288B">
        <w:t>anticipate</w:t>
      </w:r>
      <w:r>
        <w:t xml:space="preserve"> that the matters raised in this request for a preliminary ruling will be relevant to the interpretation of similar provisions in the domestic legislation of EU member states.  </w:t>
      </w:r>
    </w:p>
    <w:p w14:paraId="457CBC16" w14:textId="77777777" w:rsidR="00560E0E" w:rsidRDefault="00560E0E" w:rsidP="00560E0E">
      <w:pPr>
        <w:pStyle w:val="Heading1"/>
      </w:pPr>
      <w:r>
        <w:t>Decision</w:t>
      </w:r>
    </w:p>
    <w:p w14:paraId="32E7353D" w14:textId="06E3EE33" w:rsidR="00560E0E" w:rsidRDefault="00560E0E" w:rsidP="00560E0E">
      <w:pPr>
        <w:pStyle w:val="Bodytexttax1"/>
      </w:pPr>
      <w:r>
        <w:t>For these reasons, we have decided that a request should be made to the CJEU for a preliminary ruling in relation to the matters listed at [</w:t>
      </w:r>
      <w:r w:rsidR="009C0D94" w:rsidRPr="00DD2F7F">
        <w:t>83</w:t>
      </w:r>
      <w:r>
        <w:t xml:space="preserve">] above.  We will ask counsel to prepare a draft </w:t>
      </w:r>
      <w:r w:rsidR="00DD2F7F">
        <w:t xml:space="preserve">request </w:t>
      </w:r>
      <w:r>
        <w:t xml:space="preserve">to be settled by this Tribunal and submitted to the CJEU before the end of the transition period on 31 December 2020.  </w:t>
      </w:r>
    </w:p>
    <w:p w14:paraId="79853794" w14:textId="06B228D3" w:rsidR="003C388E" w:rsidRDefault="003C388E" w:rsidP="003C388E">
      <w:pPr>
        <w:pStyle w:val="Bodytexttax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C388E" w14:paraId="3C6F324D" w14:textId="77777777" w:rsidTr="003C388E">
        <w:tc>
          <w:tcPr>
            <w:tcW w:w="4148" w:type="dxa"/>
          </w:tcPr>
          <w:p w14:paraId="0CE308BC" w14:textId="29DBF29A" w:rsidR="003C388E" w:rsidRDefault="003C388E" w:rsidP="003C388E">
            <w:pPr>
              <w:pStyle w:val="Heading4"/>
              <w:ind w:right="26"/>
              <w:jc w:val="left"/>
            </w:pPr>
            <w:r>
              <w:t xml:space="preserve">MR </w:t>
            </w:r>
            <w:r w:rsidRPr="00185948">
              <w:t>JUSTICE MILES</w:t>
            </w:r>
          </w:p>
        </w:tc>
        <w:tc>
          <w:tcPr>
            <w:tcW w:w="4148" w:type="dxa"/>
          </w:tcPr>
          <w:p w14:paraId="7CD2C226" w14:textId="3FFFE63B" w:rsidR="003C388E" w:rsidRPr="003C388E" w:rsidRDefault="003C388E" w:rsidP="003C388E">
            <w:pPr>
              <w:ind w:right="26"/>
              <w:jc w:val="right"/>
              <w:rPr>
                <w:b/>
                <w:bCs/>
              </w:rPr>
            </w:pPr>
            <w:r w:rsidRPr="007158BA">
              <w:rPr>
                <w:b/>
                <w:bCs/>
              </w:rPr>
              <w:t>ASHLEY GREENBANK</w:t>
            </w:r>
          </w:p>
        </w:tc>
      </w:tr>
      <w:tr w:rsidR="003C388E" w14:paraId="3FB16290" w14:textId="77777777" w:rsidTr="003C388E">
        <w:tc>
          <w:tcPr>
            <w:tcW w:w="8296" w:type="dxa"/>
            <w:gridSpan w:val="2"/>
            <w:vAlign w:val="bottom"/>
          </w:tcPr>
          <w:p w14:paraId="6B373321" w14:textId="3D1C7253" w:rsidR="003C388E" w:rsidRPr="003C388E" w:rsidRDefault="003C388E" w:rsidP="003C388E">
            <w:pPr>
              <w:pStyle w:val="Bodytexttax1"/>
              <w:numPr>
                <w:ilvl w:val="0"/>
                <w:numId w:val="0"/>
              </w:numPr>
              <w:jc w:val="center"/>
              <w:rPr>
                <w:b/>
                <w:bCs/>
              </w:rPr>
            </w:pPr>
            <w:r w:rsidRPr="003C388E">
              <w:rPr>
                <w:b/>
                <w:bCs/>
              </w:rPr>
              <w:t>UPPER TRIBUNAL JUDGES</w:t>
            </w:r>
          </w:p>
        </w:tc>
      </w:tr>
    </w:tbl>
    <w:p w14:paraId="7BD4DB06" w14:textId="26F9C36A" w:rsidR="003C388E" w:rsidRDefault="003C27B4" w:rsidP="003C27B4">
      <w:pPr>
        <w:pStyle w:val="Bodytexttax1"/>
        <w:numPr>
          <w:ilvl w:val="0"/>
          <w:numId w:val="0"/>
        </w:numPr>
        <w:jc w:val="center"/>
      </w:pPr>
      <w:r>
        <w:t xml:space="preserve">Signed on Original </w:t>
      </w:r>
    </w:p>
    <w:p w14:paraId="2E336E49" w14:textId="77777777" w:rsidR="00075B2F" w:rsidRPr="00075B2F" w:rsidRDefault="00075B2F" w:rsidP="00185948">
      <w:pPr>
        <w:ind w:right="26"/>
      </w:pPr>
    </w:p>
    <w:p w14:paraId="134A99A1" w14:textId="059319D2" w:rsidR="00EE64FD" w:rsidRPr="002D56BA" w:rsidRDefault="003E2D53">
      <w:pPr>
        <w:pStyle w:val="Heading4"/>
      </w:pPr>
      <w:r>
        <w:rPr>
          <w:noProof/>
          <w:lang w:eastAsia="en-GB"/>
        </w:rPr>
        <mc:AlternateContent>
          <mc:Choice Requires="wpi">
            <w:drawing>
              <wp:anchor distT="0" distB="0" distL="114300" distR="114300" simplePos="0" relativeHeight="251657728" behindDoc="0" locked="0" layoutInCell="1" allowOverlap="1" wp14:anchorId="69676F3A" wp14:editId="7D9CABCA">
                <wp:simplePos x="0" y="0"/>
                <wp:positionH relativeFrom="column">
                  <wp:posOffset>-2360125</wp:posOffset>
                </wp:positionH>
                <wp:positionV relativeFrom="paragraph">
                  <wp:posOffset>1019357</wp:posOffset>
                </wp:positionV>
                <wp:extent cx="51120" cy="25560"/>
                <wp:effectExtent l="57150" t="38100" r="44450" b="50800"/>
                <wp:wrapNone/>
                <wp:docPr id="14" name="Ink 14"/>
                <wp:cNvGraphicFramePr/>
                <a:graphic xmlns:a="http://schemas.openxmlformats.org/drawingml/2006/main">
                  <a:graphicData uri="http://schemas.microsoft.com/office/word/2010/wordprocessingInk">
                    <w14:contentPart bwMode="auto" r:id="rId23">
                      <w14:nvContentPartPr>
                        <w14:cNvContentPartPr/>
                      </w14:nvContentPartPr>
                      <w14:xfrm>
                        <a:off x="0" y="0"/>
                        <a:ext cx="50800" cy="25400"/>
                      </w14:xfrm>
                    </w14:contentPart>
                  </a:graphicData>
                </a:graphic>
              </wp:anchor>
            </w:drawing>
          </mc:Choice>
          <mc:Fallback xmlns:w16="http://schemas.microsoft.com/office/word/2018/wordml" xmlns:w16cex="http://schemas.microsoft.com/office/word/2018/wordml/cex">
            <w:pict>
              <v:shape w14:anchorId="2B4CF60C" id="Ink 14" o:spid="_x0000_s1026" type="#_x0000_t75" style="position:absolute;margin-left:-186.55pt;margin-top:79.55pt;width:5.45pt;height:3.4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">
                <v:imagedata r:id="rId26" o:title=""/>
              </v:shape>
            </w:pict>
          </mc:Fallback>
        </mc:AlternateContent>
      </w:r>
      <w:r w:rsidR="005B0A9B">
        <w:t xml:space="preserve">        </w:t>
      </w:r>
      <w:r w:rsidR="000928F6">
        <w:t>RELEASE DATE:</w:t>
      </w:r>
      <w:r w:rsidR="00DE31A3">
        <w:rPr>
          <w:noProof/>
          <w:sz w:val="16"/>
          <w:lang w:eastAsia="en-GB"/>
        </w:rPr>
        <mc:AlternateContent>
          <mc:Choice Requires="wpi">
            <w:drawing>
              <wp:anchor distT="0" distB="0" distL="114300" distR="114300" simplePos="0" relativeHeight="251655680" behindDoc="0" locked="0" layoutInCell="1" allowOverlap="1" wp14:anchorId="3837F9FD" wp14:editId="2257165F">
                <wp:simplePos x="0" y="0"/>
                <wp:positionH relativeFrom="column">
                  <wp:posOffset>-2419176</wp:posOffset>
                </wp:positionH>
                <wp:positionV relativeFrom="paragraph">
                  <wp:posOffset>211956</wp:posOffset>
                </wp:positionV>
                <wp:extent cx="39600" cy="54000"/>
                <wp:effectExtent l="38100" t="57150" r="55880" b="41275"/>
                <wp:wrapNone/>
                <wp:docPr id="2" name="Ink 2"/>
                <wp:cNvGraphicFramePr/>
                <a:graphic xmlns:a="http://schemas.openxmlformats.org/drawingml/2006/main">
                  <a:graphicData uri="http://schemas.microsoft.com/office/word/2010/wordprocessingInk">
                    <w14:contentPart bwMode="auto" r:id="rId27">
                      <w14:nvContentPartPr>
                        <w14:cNvContentPartPr/>
                      </w14:nvContentPartPr>
                      <w14:xfrm>
                        <a:off x="0" y="0"/>
                        <a:ext cx="39370" cy="53975"/>
                      </w14:xfrm>
                    </w14:contentPart>
                  </a:graphicData>
                </a:graphic>
              </wp:anchor>
            </w:drawing>
          </mc:Choice>
          <mc:Fallback xmlns:w16="http://schemas.microsoft.com/office/word/2018/wordml" xmlns:w16cex="http://schemas.microsoft.com/office/word/2018/wordml/cex">
            <w:pict>
              <v:shape w14:anchorId="2F344D94" id="Ink 2" o:spid="_x0000_s1026" type="#_x0000_t75" style="position:absolute;margin-left:-191.2pt;margin-top:16pt;width:4.5pt;height:5.6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">
                <v:imagedata r:id="rId30" o:title=""/>
              </v:shape>
            </w:pict>
          </mc:Fallback>
        </mc:AlternateContent>
      </w:r>
      <w:r w:rsidR="00B528E5">
        <w:rPr>
          <w:noProof/>
          <w:lang w:eastAsia="en-GB"/>
        </w:rPr>
        <mc:AlternateContent>
          <mc:Choice Requires="wpi">
            <w:drawing>
              <wp:anchor distT="0" distB="0" distL="114300" distR="114300" simplePos="0" relativeHeight="251658752" behindDoc="0" locked="0" layoutInCell="1" allowOverlap="1" wp14:anchorId="5ED4A79E" wp14:editId="39187948">
                <wp:simplePos x="0" y="0"/>
                <wp:positionH relativeFrom="column">
                  <wp:posOffset>-2106432</wp:posOffset>
                </wp:positionH>
                <wp:positionV relativeFrom="paragraph">
                  <wp:posOffset>1690837</wp:posOffset>
                </wp:positionV>
                <wp:extent cx="96840" cy="53280"/>
                <wp:effectExtent l="38100" t="38100" r="55880" b="42545"/>
                <wp:wrapNone/>
                <wp:docPr id="4" name="Ink 4"/>
                <wp:cNvGraphicFramePr/>
                <a:graphic xmlns:a="http://schemas.openxmlformats.org/drawingml/2006/main">
                  <a:graphicData uri="http://schemas.microsoft.com/office/word/2010/wordprocessingInk">
                    <w14:contentPart bwMode="auto" r:id="rId31">
                      <w14:nvContentPartPr>
                        <w14:cNvContentPartPr/>
                      </w14:nvContentPartPr>
                      <w14:xfrm>
                        <a:off x="0" y="0"/>
                        <a:ext cx="96520" cy="52705"/>
                      </w14:xfrm>
                    </w14:contentPart>
                  </a:graphicData>
                </a:graphic>
              </wp:anchor>
            </w:drawing>
          </mc:Choice>
          <mc:Fallback xmlns:w16="http://schemas.microsoft.com/office/word/2018/wordml" xmlns:w16cex="http://schemas.microsoft.com/office/word/2018/wordml/cex">
            <w:pict>
              <v:shapetype w14:anchorId="184504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6pt;margin-top:133pt;width:8.8pt;height:5.3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">
                <v:imagedata r:id="rId32" o:title=""/>
              </v:shape>
            </w:pict>
          </mc:Fallback>
        </mc:AlternateContent>
      </w:r>
      <w:r w:rsidR="003C27B4">
        <w:t xml:space="preserve"> 14 December 2020</w:t>
      </w:r>
    </w:p>
    <w:sectPr w:rsidR="00EE64FD" w:rsidRPr="002D56BA" w:rsidSect="00843D91">
      <w:footerReference w:type="even" r:id="rId33"/>
      <w:footerReference w:type="default" r:id="rId34"/>
      <w:pgSz w:w="11906" w:h="16838" w:code="9"/>
      <w:pgMar w:top="1440" w:right="1440" w:bottom="2160" w:left="2160" w:header="706" w:footer="706"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430">
      <wne:macro wne:macroName="MACFARLANESGLOBAL2016.MODGLOBALSHORTCUTS.SETSCHEDHEADTOC"/>
    </wne:keymap>
    <wne:keymap wne:kcmPrimary="0431">
      <wne:macro wne:macroName="MACFARLANESGLOBAL2016.MODGLOBALSHORTCUTS.SETMACLEVEL1"/>
    </wne:keymap>
    <wne:keymap wne:kcmPrimary="0432">
      <wne:macro wne:macroName="MACFARLANESGLOBAL2016.MODGLOBALSHORTCUTS.SETMACLEVEL2"/>
    </wne:keymap>
    <wne:keymap wne:kcmPrimary="0433">
      <wne:macro wne:macroName="MACFARLANESGLOBAL2016.MODGLOBALSHORTCUTS.SETMACLEVEL3"/>
    </wne:keymap>
    <wne:keymap wne:kcmPrimary="0434">
      <wne:macro wne:macroName="MACFARLANESGLOBAL2016.MODGLOBALSHORTCUTS.SETMACLEVEL4"/>
    </wne:keymap>
    <wne:keymap wne:kcmPrimary="0435">
      <wne:macro wne:macroName="MACFARLANESGLOBAL2016.MODGLOBALSHORTCUTS.SETMACLEVEL5"/>
    </wne:keymap>
    <wne:keymap wne:kcmPrimary="0436">
      <wne:macro wne:macroName="MACFARLANESGLOBAL2016.MODGLOBALSHORTCUTS.SETMACLEVEL6"/>
    </wne:keymap>
    <wne:keymap wne:kcmPrimary="0437">
      <wne:macro wne:macroName="MACFARLANESGLOBAL2016.MODGLOBALSHORTCUTS.SETMACLEVEL6"/>
    </wne:keymap>
    <wne:keymap wne:kcmPrimary="0438">
      <wne:macro wne:macroName="MACFARLANESGLOBAL2016.MODGLOBALSHORTCUTS.SETMACLEVEL8"/>
    </wne:keymap>
    <wne:keymap wne:kcmPrimary="0439">
      <wne:macro wne:macroName="MACFARLANESGLOBAL2016.MODGLOBALSHORTCUTS.SETAPPHEADINGTOC"/>
    </wne:keymap>
    <wne:keymap wne:kcmPrimary="0441" wne:kcmSecondary="0031">
      <wne:macro wne:macroName="MACFARLANESGLOBAL2016.MODGLOBALSHORTCUTS.SETAPPLEVEL1"/>
    </wne:keymap>
    <wne:keymap wne:kcmPrimary="0441" wne:kcmSecondary="0032">
      <wne:macro wne:macroName="MACFARLANESGLOBAL2016.MODGLOBALSHORTCUTS.SETAPPLEVEL2"/>
    </wne:keymap>
    <wne:keymap wne:kcmPrimary="0441" wne:kcmSecondary="0033">
      <wne:macro wne:macroName="MACFARLANESGLOBAL2016.MODGLOBALSHORTCUTS.SETAPPLEVEL3"/>
    </wne:keymap>
    <wne:keymap wne:kcmPrimary="0441" wne:kcmSecondary="0034">
      <wne:macro wne:macroName="MACFARLANESGLOBAL2016.MODGLOBALSHORTCUTS.SETAPPLEVEL4"/>
    </wne:keymap>
    <wne:keymap wne:kcmPrimary="0441" wne:kcmSecondary="0035">
      <wne:macro wne:macroName="MACFARLANESGLOBAL2016.MODGLOBALSHORTCUTS.SETAPPLEVEL5"/>
    </wne:keymap>
    <wne:keymap wne:kcmPrimary="0441" wne:kcmSecondary="0039">
      <wne:macro wne:macroName="MACFARLANESGLOBAL2016.MODGLOBALSHORTCUTS.SETSINGLEAPPTOC"/>
    </wne:keymap>
    <wne:keymap wne:kcmPrimary="0441" wne:kcmSecondary="0053">
      <wne:macro wne:macroName="MACFARLANESGLOBAL2016.MODGLOBALSHORTCUTS.SETAPPSUBHEADTOC"/>
    </wne:keymap>
    <wne:keymap wne:kcmPrimary="0442" wne:kcmSecondary="0031">
      <wne:macro wne:macroName="MACFARLANESGLOBAL2016.MODGLOBALSHORTCUTS.SETBODY1"/>
    </wne:keymap>
    <wne:keymap wne:kcmPrimary="0442" wne:kcmSecondary="0032">
      <wne:macro wne:macroName="MACFARLANESGLOBAL2016.MODGLOBALSHORTCUTS.SETBODY2"/>
    </wne:keymap>
    <wne:keymap wne:kcmPrimary="0442" wne:kcmSecondary="0033">
      <wne:macro wne:macroName="MACFARLANESGLOBAL2016.MODGLOBALSHORTCUTS.SETBODY3"/>
    </wne:keymap>
    <wne:keymap wne:kcmPrimary="0442" wne:kcmSecondary="0034">
      <wne:macro wne:macroName="MACFARLANESGLOBAL2016.MODGLOBALSHORTCUTS.SETBODY4"/>
    </wne:keymap>
    <wne:keymap wne:kcmPrimary="0442" wne:kcmSecondary="0035">
      <wne:macro wne:macroName="MACFARLANESGLOBAL2016.MODGLOBALSHORTCUTS.SETBODY5"/>
    </wne:keymap>
    <wne:keymap wne:kcmPrimary="0442" wne:kcmSecondary="0036">
      <wne:macro wne:macroName="MACFARLANESGLOBAL2016.MODGLOBALSHORTCUTS.SETBODY6"/>
    </wne:keymap>
    <wne:keymap wne:kcmPrimary="0442" wne:kcmSecondary="0037">
      <wne:macro wne:macroName="MACFARLANESGLOBAL2016.MODGLOBALSHORTCUTS.SETBODY7"/>
    </wne:keymap>
    <wne:keymap wne:kcmPrimary="0442" wne:kcmSecondary="0038">
      <wne:macro wne:macroName="MACFARLANESGLOBAL2016.MODGLOBALSHORTCUTS.SETBODY8"/>
    </wne:keymap>
    <wne:keymap wne:kcmPrimary="0447" wne:kcmSecondary="0031">
      <wne:macro wne:macroName="MACFARLANESGLOBAL2016.MODGLOBALSHORTCUTS.SETRPTHEADING1"/>
    </wne:keymap>
    <wne:keymap wne:kcmPrimary="0447" wne:kcmSecondary="0032">
      <wne:macro wne:macroName="MACFARLANESGLOBAL2016.MODGLOBALSHORTCUTS.SETRPTHEADING2"/>
    </wne:keymap>
    <wne:keymap wne:kcmPrimary="0447" wne:kcmSecondary="0033">
      <wne:macro wne:macroName="MACFARLANESGLOBAL2016.MODGLOBALSHORTCUTS.SETRPTHEADING3"/>
    </wne:keymap>
    <wne:keymap wne:kcmPrimary="0447" wne:kcmSecondary="0034">
      <wne:macro wne:macroName="MACFARLANESGLOBAL2016.MODGLOBALSHORTCUTS.SETMACLEVEL1BOLD"/>
    </wne:keymap>
    <wne:keymap wne:kcmPrimary="0447" wne:kcmSecondary="0035">
      <wne:macro wne:macroName="MACFARLANESGLOBAL2016.MODGLOBALSHORTCUTS.SETMACLEVEL2BOLD"/>
    </wne:keymap>
    <wne:keymap wne:kcmPrimary="0447" wne:kcmSecondary="0036">
      <wne:macro wne:macroName="MACFARLANESGLOBAL2016.MODGLOBALSHORTCUTS.SETMACLEVEL3BOLD"/>
    </wne:keymap>
    <wne:keymap wne:kcmPrimary="0453" wne:kcmSecondary="0030">
      <wne:macro wne:macroName="MACFARLANESGLOBAL2016.MODGLOBALSHORTCUTS.SETSCHEDSUBHEADTOC"/>
    </wne:keymap>
    <wne:keymap wne:kcmPrimary="0453" wne:kcmSecondary="0031">
      <wne:macro wne:macroName="MACFARLANESGLOBAL2016.MODGLOBALSHORTCUTS.SETSCHEDLEVEL1"/>
    </wne:keymap>
    <wne:keymap wne:kcmPrimary="0453" wne:kcmSecondary="0032">
      <wne:macro wne:macroName="MACFARLANESGLOBAL2016.MODGLOBALSHORTCUTS.SETSCHEDLEVEL2"/>
    </wne:keymap>
    <wne:keymap wne:kcmPrimary="0453" wne:kcmSecondary="0033">
      <wne:macro wne:macroName="MACFARLANESGLOBAL2016.MODGLOBALSHORTCUTS.SETSCHEDLEVEL3"/>
    </wne:keymap>
    <wne:keymap wne:kcmPrimary="0453" wne:kcmSecondary="0034">
      <wne:macro wne:macroName="MACFARLANESGLOBAL2016.MODGLOBALSHORTCUTS.SETSCHEDLEVEL4"/>
    </wne:keymap>
    <wne:keymap wne:kcmPrimary="0453" wne:kcmSecondary="0035">
      <wne:macro wne:macroName="MACFARLANESGLOBAL2016.MODGLOBALSHORTCUTS.SETSCHEDLEVEL5"/>
    </wne:keymap>
    <wne:keymap wne:kcmPrimary="0453" wne:kcmSecondary="0036">
      <wne:macro wne:macroName="MACFARLANESGLOBAL2016.MODGLOBALSHORTCUTS.SETSCHEDHD1TOC"/>
    </wne:keymap>
    <wne:keymap wne:kcmPrimary="0453" wne:kcmSecondary="0037">
      <wne:macro wne:macroName="MACFARLANESGLOBAL2016.MODGLOBALSHORTCUTS.SETSCHEDHD2TOC"/>
    </wne:keymap>
    <wne:keymap wne:kcmPrimary="0453" wne:kcmSecondary="0050">
      <wne:macro wne:macroName="MACFARLANESGLOBAL2016.MODGLOBALSHORTCUTS.SETSCHEDHDPARTTOC"/>
    </wne:keymap>
    <wne:keymap wne:kcmPrimary="0453" wne:kcmSecondary="0053">
      <wne:macro wne:macroName="MACFARLANESGLOBAL2016.MODGLOBALSHORTCUTS.SETSINGLESCHEDHEADTOC"/>
    </wne:keymap>
    <wne:keymap wne:kcmPrimary="0454" wne:kcmSecondary="0031">
      <wne:macro wne:macroName="MACFARLANESGLOBAL2016.MODGLOBALSHORTCUTS.SETMACLEVEL1TOC"/>
    </wne:keymap>
    <wne:keymap wne:kcmPrimary="0454" wne:kcmSecondary="0032">
      <wne:macro wne:macroName="MACFARLANESGLOBAL2016.MODGLOBALSHORTCUTS.SETMACLEVEL2TOC"/>
    </wne:keymap>
    <wne:keymap wne:kcmPrimary="0454" wne:kcmSecondary="0033">
      <wne:macro wne:macroName="MACFARLANESGLOBAL2016.MODGLOBALSHORTCUTS.SETMACLEVEL3TOC"/>
    </wne:keymap>
    <wne:keymap wne:kcmPrimary="04BF">
      <wne:macro wne:macroName="MACFARLANESGLOBAL2016.MODGLOBALSHORTCUTS.REMOVECOMMENTSFROMDOCUMENT"/>
    </wne:keymap>
    <wne:keymap wne:kcmPrimary="04DC">
      <wne:macro wne:macroName="MACFARLANESGLOBAL2016.MODGLOBALSHORTCUTS.ADDCOMMENTSTODOCUMENT"/>
    </wne:keymap>
    <wne:keymap wne:kcmPrimary="0644">
      <wne:macro wne:macroName="MACFARLANESGLOBAL2016.MODGLOBALSHORTCUTS.INSERTDATETIMEASTEXTINDO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B02A" w14:textId="77777777" w:rsidR="00AF28DD" w:rsidRDefault="00AF28DD">
      <w:r>
        <w:separator/>
      </w:r>
    </w:p>
  </w:endnote>
  <w:endnote w:type="continuationSeparator" w:id="0">
    <w:p w14:paraId="75641FFE" w14:textId="77777777" w:rsidR="00AF28DD" w:rsidRDefault="00AF28DD">
      <w:r>
        <w:continuationSeparator/>
      </w:r>
    </w:p>
  </w:endnote>
  <w:endnote w:type="continuationNotice" w:id="1">
    <w:p w14:paraId="486BA26A" w14:textId="77777777" w:rsidR="00AF28DD" w:rsidRDefault="00AF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0765" w14:textId="2390411B" w:rsidR="00B856C4" w:rsidRDefault="00B856C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1F1">
      <w:rPr>
        <w:rStyle w:val="PageNumber"/>
        <w:noProof/>
      </w:rPr>
      <w:t>2</w:t>
    </w:r>
    <w:r>
      <w:rPr>
        <w:rStyle w:val="PageNumber"/>
      </w:rPr>
      <w:fldChar w:fldCharType="end"/>
    </w:r>
  </w:p>
  <w:p w14:paraId="2FE79C70" w14:textId="77777777" w:rsidR="00B856C4" w:rsidRDefault="00B856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C626" w14:textId="4C949E68" w:rsidR="00B856C4" w:rsidRDefault="00B856C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6741">
      <w:rPr>
        <w:rStyle w:val="PageNumber"/>
        <w:noProof/>
      </w:rPr>
      <w:t>2</w:t>
    </w:r>
    <w:r>
      <w:rPr>
        <w:rStyle w:val="PageNumber"/>
      </w:rPr>
      <w:fldChar w:fldCharType="end"/>
    </w:r>
  </w:p>
  <w:p w14:paraId="54D889D4" w14:textId="77777777" w:rsidR="00B856C4" w:rsidRDefault="00B856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CFE0" w14:textId="77777777" w:rsidR="008A380F" w:rsidRDefault="008A38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38CF" w14:textId="150264DD" w:rsidR="00B856C4" w:rsidRDefault="00B856C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1F1">
      <w:rPr>
        <w:rStyle w:val="PageNumber"/>
        <w:noProof/>
      </w:rPr>
      <w:t>2</w:t>
    </w:r>
    <w:r>
      <w:rPr>
        <w:rStyle w:val="PageNumber"/>
      </w:rPr>
      <w:fldChar w:fldCharType="end"/>
    </w:r>
  </w:p>
  <w:p w14:paraId="64D32F9E" w14:textId="77777777" w:rsidR="00B856C4" w:rsidRDefault="00B856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328E" w14:textId="70DC9838" w:rsidR="00B856C4" w:rsidRDefault="00B856C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6741">
      <w:rPr>
        <w:rStyle w:val="PageNumber"/>
        <w:noProof/>
      </w:rPr>
      <w:t>21</w:t>
    </w:r>
    <w:r>
      <w:rPr>
        <w:rStyle w:val="PageNumber"/>
      </w:rPr>
      <w:fldChar w:fldCharType="end"/>
    </w:r>
  </w:p>
  <w:p w14:paraId="60081AB8" w14:textId="77777777" w:rsidR="00B856C4" w:rsidRDefault="00B85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48A74" w14:textId="77777777" w:rsidR="00AF28DD" w:rsidRDefault="00AF28DD">
      <w:r>
        <w:separator/>
      </w:r>
    </w:p>
  </w:footnote>
  <w:footnote w:type="continuationSeparator" w:id="0">
    <w:p w14:paraId="5C67962C" w14:textId="77777777" w:rsidR="00AF28DD" w:rsidRDefault="00AF28DD">
      <w:r>
        <w:continuationSeparator/>
      </w:r>
    </w:p>
  </w:footnote>
  <w:footnote w:type="continuationNotice" w:id="1">
    <w:p w14:paraId="487C3C23" w14:textId="77777777" w:rsidR="00AF28DD" w:rsidRDefault="00AF2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90D5" w14:textId="77777777" w:rsidR="008A380F" w:rsidRDefault="008A3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55A8" w14:textId="77777777" w:rsidR="008A380F" w:rsidRDefault="008A3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562F" w14:textId="77777777" w:rsidR="008A380F" w:rsidRDefault="008A3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7230"/>
    <w:multiLevelType w:val="hybridMultilevel"/>
    <w:tmpl w:val="D2687752"/>
    <w:lvl w:ilvl="0" w:tplc="0809001B">
      <w:start w:val="1"/>
      <w:numFmt w:val="lowerRoman"/>
      <w:lvlText w:val="%1."/>
      <w:lvlJc w:val="righ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 w15:restartNumberingAfterBreak="0">
    <w:nsid w:val="4CB045C4"/>
    <w:multiLevelType w:val="multilevel"/>
    <w:tmpl w:val="BE9E25EA"/>
    <w:lvl w:ilvl="0">
      <w:start w:val="1"/>
      <w:numFmt w:val="decimal"/>
      <w:pStyle w:val="Bodytexttax1"/>
      <w:lvlText w:val="%1."/>
      <w:lvlJc w:val="left"/>
      <w:pPr>
        <w:tabs>
          <w:tab w:val="num" w:pos="644"/>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texttax2"/>
      <w:lvlText w:val="(%2)"/>
      <w:lvlJc w:val="left"/>
      <w:pPr>
        <w:tabs>
          <w:tab w:val="num" w:pos="1260"/>
        </w:tabs>
        <w:ind w:left="900" w:firstLine="0"/>
      </w:pPr>
      <w:rPr>
        <w:rFonts w:hint="default"/>
      </w:rPr>
    </w:lvl>
    <w:lvl w:ilvl="2">
      <w:start w:val="1"/>
      <w:numFmt w:val="lowerLetter"/>
      <w:pStyle w:val="Bodytexttax4"/>
      <w:lvlText w:val="(%3)"/>
      <w:lvlJc w:val="left"/>
      <w:pPr>
        <w:tabs>
          <w:tab w:val="num" w:pos="2520"/>
        </w:tabs>
        <w:ind w:left="2160" w:firstLine="0"/>
      </w:pPr>
      <w:rPr>
        <w:rFonts w:hint="default"/>
      </w:rPr>
    </w:lvl>
    <w:lvl w:ilvl="3">
      <w:start w:val="1"/>
      <w:numFmt w:val="lowerLetter"/>
      <w:lvlText w:val="(%4)"/>
      <w:lvlJc w:val="left"/>
      <w:pPr>
        <w:tabs>
          <w:tab w:val="num" w:pos="4320"/>
        </w:tabs>
        <w:ind w:left="4320" w:hanging="720"/>
      </w:pPr>
      <w:rPr>
        <w:rFonts w:hint="default"/>
      </w:rPr>
    </w:lvl>
    <w:lvl w:ilvl="4">
      <w:start w:val="1"/>
      <w:numFmt w:val="lowerRoman"/>
      <w:lvlText w:val="(%5)"/>
      <w:lvlJc w:val="left"/>
      <w:pPr>
        <w:tabs>
          <w:tab w:val="num" w:pos="5040"/>
        </w:tabs>
        <w:ind w:left="5040" w:hanging="72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81"/>
    <w:rsid w:val="00000046"/>
    <w:rsid w:val="000002FB"/>
    <w:rsid w:val="0000038D"/>
    <w:rsid w:val="00000846"/>
    <w:rsid w:val="00000A1F"/>
    <w:rsid w:val="00000C07"/>
    <w:rsid w:val="00000F7A"/>
    <w:rsid w:val="0000121D"/>
    <w:rsid w:val="0000156F"/>
    <w:rsid w:val="00001724"/>
    <w:rsid w:val="00001746"/>
    <w:rsid w:val="00001AD4"/>
    <w:rsid w:val="000021CF"/>
    <w:rsid w:val="0000228A"/>
    <w:rsid w:val="0000232D"/>
    <w:rsid w:val="000025B8"/>
    <w:rsid w:val="000026F0"/>
    <w:rsid w:val="000029E4"/>
    <w:rsid w:val="00002A3F"/>
    <w:rsid w:val="00002AB0"/>
    <w:rsid w:val="00002B9B"/>
    <w:rsid w:val="000030B1"/>
    <w:rsid w:val="000032F0"/>
    <w:rsid w:val="0000377F"/>
    <w:rsid w:val="000037D0"/>
    <w:rsid w:val="000037FA"/>
    <w:rsid w:val="00003C64"/>
    <w:rsid w:val="00003FC2"/>
    <w:rsid w:val="00004054"/>
    <w:rsid w:val="000040EE"/>
    <w:rsid w:val="00004489"/>
    <w:rsid w:val="00004A3B"/>
    <w:rsid w:val="00004C2C"/>
    <w:rsid w:val="00004E6D"/>
    <w:rsid w:val="0000500E"/>
    <w:rsid w:val="00005061"/>
    <w:rsid w:val="0000532F"/>
    <w:rsid w:val="00005400"/>
    <w:rsid w:val="000054E1"/>
    <w:rsid w:val="00005512"/>
    <w:rsid w:val="00005855"/>
    <w:rsid w:val="0000596D"/>
    <w:rsid w:val="00005BC0"/>
    <w:rsid w:val="00005C65"/>
    <w:rsid w:val="00006125"/>
    <w:rsid w:val="00006A0A"/>
    <w:rsid w:val="00006B0A"/>
    <w:rsid w:val="00006FA5"/>
    <w:rsid w:val="0000706B"/>
    <w:rsid w:val="0000708A"/>
    <w:rsid w:val="00007195"/>
    <w:rsid w:val="000074D3"/>
    <w:rsid w:val="000074F2"/>
    <w:rsid w:val="00007840"/>
    <w:rsid w:val="00007B9C"/>
    <w:rsid w:val="00007BA8"/>
    <w:rsid w:val="00007D50"/>
    <w:rsid w:val="0001052C"/>
    <w:rsid w:val="00010799"/>
    <w:rsid w:val="00010932"/>
    <w:rsid w:val="00010AE1"/>
    <w:rsid w:val="00010BE5"/>
    <w:rsid w:val="00010DBE"/>
    <w:rsid w:val="00010F87"/>
    <w:rsid w:val="00011032"/>
    <w:rsid w:val="000110A5"/>
    <w:rsid w:val="000111CE"/>
    <w:rsid w:val="000119A6"/>
    <w:rsid w:val="00011AB0"/>
    <w:rsid w:val="00011D49"/>
    <w:rsid w:val="00011DB1"/>
    <w:rsid w:val="00011E04"/>
    <w:rsid w:val="00012024"/>
    <w:rsid w:val="00012125"/>
    <w:rsid w:val="000121E5"/>
    <w:rsid w:val="000127F3"/>
    <w:rsid w:val="00012BBF"/>
    <w:rsid w:val="00013027"/>
    <w:rsid w:val="0001309B"/>
    <w:rsid w:val="00013911"/>
    <w:rsid w:val="000139AF"/>
    <w:rsid w:val="00013A1D"/>
    <w:rsid w:val="00013A6F"/>
    <w:rsid w:val="00013BFF"/>
    <w:rsid w:val="00013F0C"/>
    <w:rsid w:val="00013F58"/>
    <w:rsid w:val="0001400C"/>
    <w:rsid w:val="0001426B"/>
    <w:rsid w:val="00014467"/>
    <w:rsid w:val="0001464B"/>
    <w:rsid w:val="00014FED"/>
    <w:rsid w:val="00015041"/>
    <w:rsid w:val="00015110"/>
    <w:rsid w:val="00015321"/>
    <w:rsid w:val="000154FC"/>
    <w:rsid w:val="000156C6"/>
    <w:rsid w:val="00015726"/>
    <w:rsid w:val="00015908"/>
    <w:rsid w:val="0001598C"/>
    <w:rsid w:val="00015CB7"/>
    <w:rsid w:val="00015D4F"/>
    <w:rsid w:val="00015D5B"/>
    <w:rsid w:val="00015D78"/>
    <w:rsid w:val="00015F3B"/>
    <w:rsid w:val="000162F7"/>
    <w:rsid w:val="00016A77"/>
    <w:rsid w:val="00016B46"/>
    <w:rsid w:val="00017087"/>
    <w:rsid w:val="000170B2"/>
    <w:rsid w:val="0001727E"/>
    <w:rsid w:val="00017329"/>
    <w:rsid w:val="0001740D"/>
    <w:rsid w:val="000175E7"/>
    <w:rsid w:val="00017668"/>
    <w:rsid w:val="00017A0D"/>
    <w:rsid w:val="00017A34"/>
    <w:rsid w:val="00017F7F"/>
    <w:rsid w:val="0002001C"/>
    <w:rsid w:val="000200EE"/>
    <w:rsid w:val="0002027A"/>
    <w:rsid w:val="000202F5"/>
    <w:rsid w:val="0002062D"/>
    <w:rsid w:val="00020C51"/>
    <w:rsid w:val="00021180"/>
    <w:rsid w:val="000213BD"/>
    <w:rsid w:val="0002181D"/>
    <w:rsid w:val="0002190D"/>
    <w:rsid w:val="00021BBE"/>
    <w:rsid w:val="00021DFE"/>
    <w:rsid w:val="00021E70"/>
    <w:rsid w:val="000222C0"/>
    <w:rsid w:val="0002241E"/>
    <w:rsid w:val="000224ED"/>
    <w:rsid w:val="00022597"/>
    <w:rsid w:val="000225B8"/>
    <w:rsid w:val="000225F1"/>
    <w:rsid w:val="00022D87"/>
    <w:rsid w:val="00022F27"/>
    <w:rsid w:val="000231E1"/>
    <w:rsid w:val="00023238"/>
    <w:rsid w:val="000232FD"/>
    <w:rsid w:val="0002354E"/>
    <w:rsid w:val="000235B6"/>
    <w:rsid w:val="000236DB"/>
    <w:rsid w:val="0002381C"/>
    <w:rsid w:val="00023C5F"/>
    <w:rsid w:val="00023EB5"/>
    <w:rsid w:val="00023F67"/>
    <w:rsid w:val="0002405B"/>
    <w:rsid w:val="00024694"/>
    <w:rsid w:val="000247D5"/>
    <w:rsid w:val="00024B06"/>
    <w:rsid w:val="00024DDE"/>
    <w:rsid w:val="00024F44"/>
    <w:rsid w:val="00024F5F"/>
    <w:rsid w:val="00024FAF"/>
    <w:rsid w:val="00025224"/>
    <w:rsid w:val="000257FA"/>
    <w:rsid w:val="00025A24"/>
    <w:rsid w:val="00025B4C"/>
    <w:rsid w:val="00025B5E"/>
    <w:rsid w:val="00025C48"/>
    <w:rsid w:val="00025E2D"/>
    <w:rsid w:val="00025E6F"/>
    <w:rsid w:val="00026148"/>
    <w:rsid w:val="0002635F"/>
    <w:rsid w:val="0002667D"/>
    <w:rsid w:val="00026744"/>
    <w:rsid w:val="00026A25"/>
    <w:rsid w:val="000276DA"/>
    <w:rsid w:val="000277C3"/>
    <w:rsid w:val="00027A23"/>
    <w:rsid w:val="00027ADA"/>
    <w:rsid w:val="00027C9D"/>
    <w:rsid w:val="000300A3"/>
    <w:rsid w:val="000300BA"/>
    <w:rsid w:val="000303AA"/>
    <w:rsid w:val="00030605"/>
    <w:rsid w:val="0003062D"/>
    <w:rsid w:val="00030DD5"/>
    <w:rsid w:val="000310E5"/>
    <w:rsid w:val="00031951"/>
    <w:rsid w:val="0003196F"/>
    <w:rsid w:val="00031C89"/>
    <w:rsid w:val="00031D39"/>
    <w:rsid w:val="00031F66"/>
    <w:rsid w:val="000321BC"/>
    <w:rsid w:val="00032653"/>
    <w:rsid w:val="000328E4"/>
    <w:rsid w:val="00032A49"/>
    <w:rsid w:val="00033248"/>
    <w:rsid w:val="00033307"/>
    <w:rsid w:val="000333BB"/>
    <w:rsid w:val="00033974"/>
    <w:rsid w:val="00033A66"/>
    <w:rsid w:val="00033B4F"/>
    <w:rsid w:val="00033F67"/>
    <w:rsid w:val="0003430F"/>
    <w:rsid w:val="00034409"/>
    <w:rsid w:val="00034443"/>
    <w:rsid w:val="000348A5"/>
    <w:rsid w:val="000349EA"/>
    <w:rsid w:val="00034AD2"/>
    <w:rsid w:val="00034BCD"/>
    <w:rsid w:val="00034C64"/>
    <w:rsid w:val="00034E8F"/>
    <w:rsid w:val="00034F47"/>
    <w:rsid w:val="00035487"/>
    <w:rsid w:val="000355AA"/>
    <w:rsid w:val="00035611"/>
    <w:rsid w:val="00035906"/>
    <w:rsid w:val="00035D2F"/>
    <w:rsid w:val="00035D55"/>
    <w:rsid w:val="00036023"/>
    <w:rsid w:val="00036655"/>
    <w:rsid w:val="0003666B"/>
    <w:rsid w:val="000367AC"/>
    <w:rsid w:val="00036A80"/>
    <w:rsid w:val="00036D73"/>
    <w:rsid w:val="0003701A"/>
    <w:rsid w:val="000371FD"/>
    <w:rsid w:val="00037560"/>
    <w:rsid w:val="00037587"/>
    <w:rsid w:val="00037952"/>
    <w:rsid w:val="00037B8B"/>
    <w:rsid w:val="00037D4F"/>
    <w:rsid w:val="00037ED6"/>
    <w:rsid w:val="00037EF0"/>
    <w:rsid w:val="000400A4"/>
    <w:rsid w:val="000400BE"/>
    <w:rsid w:val="000400D3"/>
    <w:rsid w:val="0004011B"/>
    <w:rsid w:val="000401AE"/>
    <w:rsid w:val="000403D5"/>
    <w:rsid w:val="00040941"/>
    <w:rsid w:val="0004096B"/>
    <w:rsid w:val="00040B2E"/>
    <w:rsid w:val="00040C49"/>
    <w:rsid w:val="00040CB4"/>
    <w:rsid w:val="00040D3A"/>
    <w:rsid w:val="00041166"/>
    <w:rsid w:val="00041174"/>
    <w:rsid w:val="00041285"/>
    <w:rsid w:val="00041454"/>
    <w:rsid w:val="0004182B"/>
    <w:rsid w:val="000419D0"/>
    <w:rsid w:val="00041B58"/>
    <w:rsid w:val="00041B84"/>
    <w:rsid w:val="000420E4"/>
    <w:rsid w:val="0004227A"/>
    <w:rsid w:val="00042537"/>
    <w:rsid w:val="00042630"/>
    <w:rsid w:val="000426BB"/>
    <w:rsid w:val="00042736"/>
    <w:rsid w:val="0004297D"/>
    <w:rsid w:val="00042C20"/>
    <w:rsid w:val="00042C5B"/>
    <w:rsid w:val="00042D8F"/>
    <w:rsid w:val="00043077"/>
    <w:rsid w:val="000430D7"/>
    <w:rsid w:val="000433F8"/>
    <w:rsid w:val="000434D2"/>
    <w:rsid w:val="000436AC"/>
    <w:rsid w:val="00043F89"/>
    <w:rsid w:val="000440B3"/>
    <w:rsid w:val="000442C1"/>
    <w:rsid w:val="00044484"/>
    <w:rsid w:val="000446E5"/>
    <w:rsid w:val="0004486C"/>
    <w:rsid w:val="0004487F"/>
    <w:rsid w:val="0004489C"/>
    <w:rsid w:val="00044CC8"/>
    <w:rsid w:val="00044D28"/>
    <w:rsid w:val="000454F6"/>
    <w:rsid w:val="00045537"/>
    <w:rsid w:val="00045748"/>
    <w:rsid w:val="00045776"/>
    <w:rsid w:val="000459D3"/>
    <w:rsid w:val="00046222"/>
    <w:rsid w:val="00046296"/>
    <w:rsid w:val="0004680E"/>
    <w:rsid w:val="000468D7"/>
    <w:rsid w:val="00046D7B"/>
    <w:rsid w:val="00046DE9"/>
    <w:rsid w:val="0004725F"/>
    <w:rsid w:val="000474C5"/>
    <w:rsid w:val="00047533"/>
    <w:rsid w:val="0004784A"/>
    <w:rsid w:val="00047C94"/>
    <w:rsid w:val="00047FE5"/>
    <w:rsid w:val="00050004"/>
    <w:rsid w:val="00050006"/>
    <w:rsid w:val="00050239"/>
    <w:rsid w:val="0005026D"/>
    <w:rsid w:val="000506FF"/>
    <w:rsid w:val="00050AFB"/>
    <w:rsid w:val="00050BD9"/>
    <w:rsid w:val="0005113C"/>
    <w:rsid w:val="000514A1"/>
    <w:rsid w:val="000515E0"/>
    <w:rsid w:val="00051A85"/>
    <w:rsid w:val="00051D87"/>
    <w:rsid w:val="00052149"/>
    <w:rsid w:val="0005216B"/>
    <w:rsid w:val="0005237A"/>
    <w:rsid w:val="000525C2"/>
    <w:rsid w:val="00052910"/>
    <w:rsid w:val="00052958"/>
    <w:rsid w:val="00052E15"/>
    <w:rsid w:val="00052F5B"/>
    <w:rsid w:val="00052F5D"/>
    <w:rsid w:val="00053456"/>
    <w:rsid w:val="000534C8"/>
    <w:rsid w:val="0005359A"/>
    <w:rsid w:val="000539FB"/>
    <w:rsid w:val="00054098"/>
    <w:rsid w:val="000540E7"/>
    <w:rsid w:val="00054407"/>
    <w:rsid w:val="000544D8"/>
    <w:rsid w:val="00054726"/>
    <w:rsid w:val="000549D0"/>
    <w:rsid w:val="000549E8"/>
    <w:rsid w:val="00054C2D"/>
    <w:rsid w:val="00054DCB"/>
    <w:rsid w:val="00054F1B"/>
    <w:rsid w:val="000552D1"/>
    <w:rsid w:val="000556C2"/>
    <w:rsid w:val="00055B13"/>
    <w:rsid w:val="00055C92"/>
    <w:rsid w:val="00055DEC"/>
    <w:rsid w:val="0005608B"/>
    <w:rsid w:val="000563C9"/>
    <w:rsid w:val="000566CF"/>
    <w:rsid w:val="000569D9"/>
    <w:rsid w:val="000574F5"/>
    <w:rsid w:val="00057520"/>
    <w:rsid w:val="000576B5"/>
    <w:rsid w:val="0005784C"/>
    <w:rsid w:val="000578A8"/>
    <w:rsid w:val="000579CA"/>
    <w:rsid w:val="00057A40"/>
    <w:rsid w:val="00057B1E"/>
    <w:rsid w:val="00057D6D"/>
    <w:rsid w:val="00057DC8"/>
    <w:rsid w:val="00057E16"/>
    <w:rsid w:val="00057F76"/>
    <w:rsid w:val="0006005E"/>
    <w:rsid w:val="00060148"/>
    <w:rsid w:val="0006017C"/>
    <w:rsid w:val="000601D0"/>
    <w:rsid w:val="00060590"/>
    <w:rsid w:val="00060D0A"/>
    <w:rsid w:val="0006100F"/>
    <w:rsid w:val="00061203"/>
    <w:rsid w:val="000613B0"/>
    <w:rsid w:val="0006142D"/>
    <w:rsid w:val="000614CF"/>
    <w:rsid w:val="0006160B"/>
    <w:rsid w:val="00061761"/>
    <w:rsid w:val="0006177D"/>
    <w:rsid w:val="00061A1E"/>
    <w:rsid w:val="00061A75"/>
    <w:rsid w:val="00061A94"/>
    <w:rsid w:val="00061B0C"/>
    <w:rsid w:val="00061B36"/>
    <w:rsid w:val="00061C5A"/>
    <w:rsid w:val="00061F2A"/>
    <w:rsid w:val="00062023"/>
    <w:rsid w:val="00062073"/>
    <w:rsid w:val="000620E7"/>
    <w:rsid w:val="00062203"/>
    <w:rsid w:val="00062543"/>
    <w:rsid w:val="000627AA"/>
    <w:rsid w:val="00062A68"/>
    <w:rsid w:val="00062F51"/>
    <w:rsid w:val="000630CB"/>
    <w:rsid w:val="00063903"/>
    <w:rsid w:val="00063F61"/>
    <w:rsid w:val="000640E0"/>
    <w:rsid w:val="00064441"/>
    <w:rsid w:val="0006483B"/>
    <w:rsid w:val="0006487D"/>
    <w:rsid w:val="00064BD0"/>
    <w:rsid w:val="00064D4E"/>
    <w:rsid w:val="00064DCE"/>
    <w:rsid w:val="0006502E"/>
    <w:rsid w:val="00065342"/>
    <w:rsid w:val="000654AA"/>
    <w:rsid w:val="000655E3"/>
    <w:rsid w:val="000659F3"/>
    <w:rsid w:val="00065B7A"/>
    <w:rsid w:val="00065BA7"/>
    <w:rsid w:val="000660DA"/>
    <w:rsid w:val="0006620C"/>
    <w:rsid w:val="00066914"/>
    <w:rsid w:val="000669B9"/>
    <w:rsid w:val="00066A37"/>
    <w:rsid w:val="00066B02"/>
    <w:rsid w:val="000674CB"/>
    <w:rsid w:val="000675DF"/>
    <w:rsid w:val="0006769F"/>
    <w:rsid w:val="000676E8"/>
    <w:rsid w:val="00067C43"/>
    <w:rsid w:val="00067EA7"/>
    <w:rsid w:val="000702DC"/>
    <w:rsid w:val="00070788"/>
    <w:rsid w:val="00070952"/>
    <w:rsid w:val="00070AB0"/>
    <w:rsid w:val="00070B47"/>
    <w:rsid w:val="00070CC1"/>
    <w:rsid w:val="00070D2B"/>
    <w:rsid w:val="0007118C"/>
    <w:rsid w:val="000711F1"/>
    <w:rsid w:val="00071616"/>
    <w:rsid w:val="00071639"/>
    <w:rsid w:val="00071660"/>
    <w:rsid w:val="0007219B"/>
    <w:rsid w:val="00072423"/>
    <w:rsid w:val="000725AF"/>
    <w:rsid w:val="0007284C"/>
    <w:rsid w:val="000729BC"/>
    <w:rsid w:val="00072F6B"/>
    <w:rsid w:val="00072FB2"/>
    <w:rsid w:val="000730A1"/>
    <w:rsid w:val="0007316A"/>
    <w:rsid w:val="000731E1"/>
    <w:rsid w:val="00073409"/>
    <w:rsid w:val="00073506"/>
    <w:rsid w:val="000736DD"/>
    <w:rsid w:val="00073860"/>
    <w:rsid w:val="00073972"/>
    <w:rsid w:val="00073F97"/>
    <w:rsid w:val="00073FE7"/>
    <w:rsid w:val="000740C4"/>
    <w:rsid w:val="00074413"/>
    <w:rsid w:val="00074A12"/>
    <w:rsid w:val="00074AE1"/>
    <w:rsid w:val="00074C2E"/>
    <w:rsid w:val="00074C3E"/>
    <w:rsid w:val="00074CAD"/>
    <w:rsid w:val="0007539E"/>
    <w:rsid w:val="000754C2"/>
    <w:rsid w:val="00075598"/>
    <w:rsid w:val="0007568D"/>
    <w:rsid w:val="00075786"/>
    <w:rsid w:val="000757EB"/>
    <w:rsid w:val="00075AE6"/>
    <w:rsid w:val="00075B2F"/>
    <w:rsid w:val="00075B53"/>
    <w:rsid w:val="00075DF4"/>
    <w:rsid w:val="00075F23"/>
    <w:rsid w:val="00076177"/>
    <w:rsid w:val="00076185"/>
    <w:rsid w:val="0007634D"/>
    <w:rsid w:val="000764C4"/>
    <w:rsid w:val="00076635"/>
    <w:rsid w:val="00076647"/>
    <w:rsid w:val="0007698F"/>
    <w:rsid w:val="000769DF"/>
    <w:rsid w:val="00076D86"/>
    <w:rsid w:val="00076E36"/>
    <w:rsid w:val="00076E5D"/>
    <w:rsid w:val="0007707B"/>
    <w:rsid w:val="00077130"/>
    <w:rsid w:val="00077148"/>
    <w:rsid w:val="00077437"/>
    <w:rsid w:val="00077B75"/>
    <w:rsid w:val="00077C8F"/>
    <w:rsid w:val="00077F5D"/>
    <w:rsid w:val="000802C3"/>
    <w:rsid w:val="000803B5"/>
    <w:rsid w:val="000804BC"/>
    <w:rsid w:val="000807A9"/>
    <w:rsid w:val="00080B5B"/>
    <w:rsid w:val="00080CBF"/>
    <w:rsid w:val="00080D8E"/>
    <w:rsid w:val="00080EFA"/>
    <w:rsid w:val="000810B8"/>
    <w:rsid w:val="000812DC"/>
    <w:rsid w:val="00081907"/>
    <w:rsid w:val="00081BCC"/>
    <w:rsid w:val="00081D07"/>
    <w:rsid w:val="00081F93"/>
    <w:rsid w:val="00081FA8"/>
    <w:rsid w:val="00081FD5"/>
    <w:rsid w:val="00082055"/>
    <w:rsid w:val="0008206D"/>
    <w:rsid w:val="00082101"/>
    <w:rsid w:val="000821CC"/>
    <w:rsid w:val="00082283"/>
    <w:rsid w:val="000822EE"/>
    <w:rsid w:val="000826E0"/>
    <w:rsid w:val="000829C4"/>
    <w:rsid w:val="00082A37"/>
    <w:rsid w:val="00082C63"/>
    <w:rsid w:val="00083305"/>
    <w:rsid w:val="0008336B"/>
    <w:rsid w:val="0008362F"/>
    <w:rsid w:val="00083697"/>
    <w:rsid w:val="00083707"/>
    <w:rsid w:val="00083A77"/>
    <w:rsid w:val="00083D52"/>
    <w:rsid w:val="00083D96"/>
    <w:rsid w:val="00084114"/>
    <w:rsid w:val="000842E0"/>
    <w:rsid w:val="0008434D"/>
    <w:rsid w:val="000844AC"/>
    <w:rsid w:val="00084B75"/>
    <w:rsid w:val="0008500E"/>
    <w:rsid w:val="00085349"/>
    <w:rsid w:val="00085432"/>
    <w:rsid w:val="0008558D"/>
    <w:rsid w:val="000856B9"/>
    <w:rsid w:val="0008582F"/>
    <w:rsid w:val="000858AA"/>
    <w:rsid w:val="0008590E"/>
    <w:rsid w:val="0008593E"/>
    <w:rsid w:val="00085A08"/>
    <w:rsid w:val="00085C01"/>
    <w:rsid w:val="00085CA9"/>
    <w:rsid w:val="00085F67"/>
    <w:rsid w:val="00086543"/>
    <w:rsid w:val="00086703"/>
    <w:rsid w:val="000868FF"/>
    <w:rsid w:val="0008697D"/>
    <w:rsid w:val="00086996"/>
    <w:rsid w:val="0008706B"/>
    <w:rsid w:val="000871AC"/>
    <w:rsid w:val="0008725F"/>
    <w:rsid w:val="00087352"/>
    <w:rsid w:val="0008757A"/>
    <w:rsid w:val="00087748"/>
    <w:rsid w:val="000877A6"/>
    <w:rsid w:val="000877B6"/>
    <w:rsid w:val="000879EB"/>
    <w:rsid w:val="00087AB8"/>
    <w:rsid w:val="00087C45"/>
    <w:rsid w:val="00087D3A"/>
    <w:rsid w:val="00087E69"/>
    <w:rsid w:val="00087F1E"/>
    <w:rsid w:val="00090273"/>
    <w:rsid w:val="00090464"/>
    <w:rsid w:val="000906CD"/>
    <w:rsid w:val="000909C0"/>
    <w:rsid w:val="00090AB3"/>
    <w:rsid w:val="00090EBA"/>
    <w:rsid w:val="00090F21"/>
    <w:rsid w:val="00091085"/>
    <w:rsid w:val="00091143"/>
    <w:rsid w:val="000911B5"/>
    <w:rsid w:val="000911D2"/>
    <w:rsid w:val="00091247"/>
    <w:rsid w:val="00091418"/>
    <w:rsid w:val="0009142E"/>
    <w:rsid w:val="00091B14"/>
    <w:rsid w:val="00091BEC"/>
    <w:rsid w:val="00091F49"/>
    <w:rsid w:val="00091F9A"/>
    <w:rsid w:val="00091FA8"/>
    <w:rsid w:val="000921FD"/>
    <w:rsid w:val="000927B4"/>
    <w:rsid w:val="000928F6"/>
    <w:rsid w:val="0009292D"/>
    <w:rsid w:val="00092A48"/>
    <w:rsid w:val="00092D99"/>
    <w:rsid w:val="00092EC3"/>
    <w:rsid w:val="00092F4E"/>
    <w:rsid w:val="00093278"/>
    <w:rsid w:val="0009329F"/>
    <w:rsid w:val="000932E0"/>
    <w:rsid w:val="0009343F"/>
    <w:rsid w:val="0009366E"/>
    <w:rsid w:val="000937A6"/>
    <w:rsid w:val="00093BA7"/>
    <w:rsid w:val="00093ED6"/>
    <w:rsid w:val="00093FDE"/>
    <w:rsid w:val="00094989"/>
    <w:rsid w:val="00094C39"/>
    <w:rsid w:val="00094CAB"/>
    <w:rsid w:val="00094D95"/>
    <w:rsid w:val="00095045"/>
    <w:rsid w:val="00095110"/>
    <w:rsid w:val="0009528F"/>
    <w:rsid w:val="000953E0"/>
    <w:rsid w:val="00095AC9"/>
    <w:rsid w:val="00095B70"/>
    <w:rsid w:val="00095E6A"/>
    <w:rsid w:val="00095EFB"/>
    <w:rsid w:val="00095F8A"/>
    <w:rsid w:val="000962E1"/>
    <w:rsid w:val="000962EE"/>
    <w:rsid w:val="00096412"/>
    <w:rsid w:val="00096623"/>
    <w:rsid w:val="00096A74"/>
    <w:rsid w:val="00096B7B"/>
    <w:rsid w:val="00096BB0"/>
    <w:rsid w:val="00096BF2"/>
    <w:rsid w:val="00096D1E"/>
    <w:rsid w:val="00097402"/>
    <w:rsid w:val="000974D3"/>
    <w:rsid w:val="0009778E"/>
    <w:rsid w:val="00097942"/>
    <w:rsid w:val="00097EF0"/>
    <w:rsid w:val="00097EF3"/>
    <w:rsid w:val="000A0020"/>
    <w:rsid w:val="000A0037"/>
    <w:rsid w:val="000A05D7"/>
    <w:rsid w:val="000A09C7"/>
    <w:rsid w:val="000A0B53"/>
    <w:rsid w:val="000A0EA4"/>
    <w:rsid w:val="000A0EF0"/>
    <w:rsid w:val="000A0F48"/>
    <w:rsid w:val="000A13DA"/>
    <w:rsid w:val="000A1496"/>
    <w:rsid w:val="000A16C1"/>
    <w:rsid w:val="000A199D"/>
    <w:rsid w:val="000A1D6A"/>
    <w:rsid w:val="000A1D98"/>
    <w:rsid w:val="000A225C"/>
    <w:rsid w:val="000A2772"/>
    <w:rsid w:val="000A2D0E"/>
    <w:rsid w:val="000A303F"/>
    <w:rsid w:val="000A323F"/>
    <w:rsid w:val="000A33CE"/>
    <w:rsid w:val="000A3A95"/>
    <w:rsid w:val="000A3BC7"/>
    <w:rsid w:val="000A3C1A"/>
    <w:rsid w:val="000A3D6A"/>
    <w:rsid w:val="000A3DC8"/>
    <w:rsid w:val="000A3F81"/>
    <w:rsid w:val="000A407B"/>
    <w:rsid w:val="000A43B4"/>
    <w:rsid w:val="000A49EC"/>
    <w:rsid w:val="000A4CA3"/>
    <w:rsid w:val="000A5012"/>
    <w:rsid w:val="000A50C5"/>
    <w:rsid w:val="000A530F"/>
    <w:rsid w:val="000A538D"/>
    <w:rsid w:val="000A5453"/>
    <w:rsid w:val="000A5782"/>
    <w:rsid w:val="000A5809"/>
    <w:rsid w:val="000A5898"/>
    <w:rsid w:val="000A5A50"/>
    <w:rsid w:val="000A5E7B"/>
    <w:rsid w:val="000A63C2"/>
    <w:rsid w:val="000A68A4"/>
    <w:rsid w:val="000A6C3C"/>
    <w:rsid w:val="000A737D"/>
    <w:rsid w:val="000A751B"/>
    <w:rsid w:val="000A796F"/>
    <w:rsid w:val="000A7BCA"/>
    <w:rsid w:val="000A7F4B"/>
    <w:rsid w:val="000A7FDB"/>
    <w:rsid w:val="000B0026"/>
    <w:rsid w:val="000B0076"/>
    <w:rsid w:val="000B0740"/>
    <w:rsid w:val="000B09C9"/>
    <w:rsid w:val="000B0A68"/>
    <w:rsid w:val="000B0B4E"/>
    <w:rsid w:val="000B0CD4"/>
    <w:rsid w:val="000B1007"/>
    <w:rsid w:val="000B123A"/>
    <w:rsid w:val="000B12BC"/>
    <w:rsid w:val="000B14A7"/>
    <w:rsid w:val="000B14C7"/>
    <w:rsid w:val="000B19F8"/>
    <w:rsid w:val="000B1C1A"/>
    <w:rsid w:val="000B25BC"/>
    <w:rsid w:val="000B27F9"/>
    <w:rsid w:val="000B28CE"/>
    <w:rsid w:val="000B2AD0"/>
    <w:rsid w:val="000B2CB5"/>
    <w:rsid w:val="000B2E7E"/>
    <w:rsid w:val="000B3061"/>
    <w:rsid w:val="000B32ED"/>
    <w:rsid w:val="000B38FF"/>
    <w:rsid w:val="000B3B3A"/>
    <w:rsid w:val="000B3BA8"/>
    <w:rsid w:val="000B3CA2"/>
    <w:rsid w:val="000B3EDA"/>
    <w:rsid w:val="000B41B2"/>
    <w:rsid w:val="000B4458"/>
    <w:rsid w:val="000B45F6"/>
    <w:rsid w:val="000B49D5"/>
    <w:rsid w:val="000B4C8A"/>
    <w:rsid w:val="000B5178"/>
    <w:rsid w:val="000B54F3"/>
    <w:rsid w:val="000B5534"/>
    <w:rsid w:val="000B5905"/>
    <w:rsid w:val="000B5950"/>
    <w:rsid w:val="000B5B4D"/>
    <w:rsid w:val="000B5D70"/>
    <w:rsid w:val="000B60EC"/>
    <w:rsid w:val="000B64A5"/>
    <w:rsid w:val="000B6A08"/>
    <w:rsid w:val="000B6ADA"/>
    <w:rsid w:val="000B6E49"/>
    <w:rsid w:val="000B6F83"/>
    <w:rsid w:val="000B7063"/>
    <w:rsid w:val="000B7082"/>
    <w:rsid w:val="000B72A3"/>
    <w:rsid w:val="000B742A"/>
    <w:rsid w:val="000B7DC1"/>
    <w:rsid w:val="000B7DF1"/>
    <w:rsid w:val="000C0326"/>
    <w:rsid w:val="000C032A"/>
    <w:rsid w:val="000C06E1"/>
    <w:rsid w:val="000C06E5"/>
    <w:rsid w:val="000C076D"/>
    <w:rsid w:val="000C07DD"/>
    <w:rsid w:val="000C08FF"/>
    <w:rsid w:val="000C0976"/>
    <w:rsid w:val="000C0A2E"/>
    <w:rsid w:val="000C0E48"/>
    <w:rsid w:val="000C10BC"/>
    <w:rsid w:val="000C1215"/>
    <w:rsid w:val="000C12F6"/>
    <w:rsid w:val="000C13C0"/>
    <w:rsid w:val="000C175B"/>
    <w:rsid w:val="000C18A7"/>
    <w:rsid w:val="000C199A"/>
    <w:rsid w:val="000C1A9D"/>
    <w:rsid w:val="000C2263"/>
    <w:rsid w:val="000C227F"/>
    <w:rsid w:val="000C22EA"/>
    <w:rsid w:val="000C2AA4"/>
    <w:rsid w:val="000C2FEC"/>
    <w:rsid w:val="000C3199"/>
    <w:rsid w:val="000C31CB"/>
    <w:rsid w:val="000C3578"/>
    <w:rsid w:val="000C3720"/>
    <w:rsid w:val="000C3C7D"/>
    <w:rsid w:val="000C3FB3"/>
    <w:rsid w:val="000C408D"/>
    <w:rsid w:val="000C4388"/>
    <w:rsid w:val="000C4645"/>
    <w:rsid w:val="000C46C3"/>
    <w:rsid w:val="000C4703"/>
    <w:rsid w:val="000C4841"/>
    <w:rsid w:val="000C4A4B"/>
    <w:rsid w:val="000C4AFE"/>
    <w:rsid w:val="000C4BA0"/>
    <w:rsid w:val="000C4BCC"/>
    <w:rsid w:val="000C4BD9"/>
    <w:rsid w:val="000C4F77"/>
    <w:rsid w:val="000C4F90"/>
    <w:rsid w:val="000C5070"/>
    <w:rsid w:val="000C5080"/>
    <w:rsid w:val="000C50C7"/>
    <w:rsid w:val="000C52EF"/>
    <w:rsid w:val="000C5348"/>
    <w:rsid w:val="000C55B7"/>
    <w:rsid w:val="000C568F"/>
    <w:rsid w:val="000C57E3"/>
    <w:rsid w:val="000C59E2"/>
    <w:rsid w:val="000C5B48"/>
    <w:rsid w:val="000C5B93"/>
    <w:rsid w:val="000C5CD0"/>
    <w:rsid w:val="000C5F22"/>
    <w:rsid w:val="000C622E"/>
    <w:rsid w:val="000C623C"/>
    <w:rsid w:val="000C65D1"/>
    <w:rsid w:val="000C669E"/>
    <w:rsid w:val="000C687C"/>
    <w:rsid w:val="000C6BD2"/>
    <w:rsid w:val="000C6D7E"/>
    <w:rsid w:val="000C6D88"/>
    <w:rsid w:val="000C6E38"/>
    <w:rsid w:val="000C717F"/>
    <w:rsid w:val="000C7184"/>
    <w:rsid w:val="000C71D0"/>
    <w:rsid w:val="000C7811"/>
    <w:rsid w:val="000C7F28"/>
    <w:rsid w:val="000C7F48"/>
    <w:rsid w:val="000D0156"/>
    <w:rsid w:val="000D018B"/>
    <w:rsid w:val="000D019D"/>
    <w:rsid w:val="000D01BC"/>
    <w:rsid w:val="000D021B"/>
    <w:rsid w:val="000D0886"/>
    <w:rsid w:val="000D09F3"/>
    <w:rsid w:val="000D0C44"/>
    <w:rsid w:val="000D1186"/>
    <w:rsid w:val="000D14ED"/>
    <w:rsid w:val="000D1623"/>
    <w:rsid w:val="000D169E"/>
    <w:rsid w:val="000D1B30"/>
    <w:rsid w:val="000D1DFB"/>
    <w:rsid w:val="000D240E"/>
    <w:rsid w:val="000D248A"/>
    <w:rsid w:val="000D26BB"/>
    <w:rsid w:val="000D2726"/>
    <w:rsid w:val="000D29F6"/>
    <w:rsid w:val="000D2A7C"/>
    <w:rsid w:val="000D2B03"/>
    <w:rsid w:val="000D2BA8"/>
    <w:rsid w:val="000D2ECD"/>
    <w:rsid w:val="000D3019"/>
    <w:rsid w:val="000D3406"/>
    <w:rsid w:val="000D35BD"/>
    <w:rsid w:val="000D383D"/>
    <w:rsid w:val="000D3CB3"/>
    <w:rsid w:val="000D3F94"/>
    <w:rsid w:val="000D4539"/>
    <w:rsid w:val="000D4A5A"/>
    <w:rsid w:val="000D4ABF"/>
    <w:rsid w:val="000D4ADF"/>
    <w:rsid w:val="000D4B24"/>
    <w:rsid w:val="000D4C3C"/>
    <w:rsid w:val="000D4CC4"/>
    <w:rsid w:val="000D4F28"/>
    <w:rsid w:val="000D506C"/>
    <w:rsid w:val="000D539A"/>
    <w:rsid w:val="000D5553"/>
    <w:rsid w:val="000D56B0"/>
    <w:rsid w:val="000D57A0"/>
    <w:rsid w:val="000D595D"/>
    <w:rsid w:val="000D5A4F"/>
    <w:rsid w:val="000D5A79"/>
    <w:rsid w:val="000D5A97"/>
    <w:rsid w:val="000D5E35"/>
    <w:rsid w:val="000D5F99"/>
    <w:rsid w:val="000D60C4"/>
    <w:rsid w:val="000D60C7"/>
    <w:rsid w:val="000D62BA"/>
    <w:rsid w:val="000D6323"/>
    <w:rsid w:val="000D6A4C"/>
    <w:rsid w:val="000D6AEC"/>
    <w:rsid w:val="000D6B8E"/>
    <w:rsid w:val="000D6C1B"/>
    <w:rsid w:val="000D7007"/>
    <w:rsid w:val="000D7081"/>
    <w:rsid w:val="000D70E4"/>
    <w:rsid w:val="000D7179"/>
    <w:rsid w:val="000D79CD"/>
    <w:rsid w:val="000D7BD9"/>
    <w:rsid w:val="000D7D96"/>
    <w:rsid w:val="000E0110"/>
    <w:rsid w:val="000E01D9"/>
    <w:rsid w:val="000E01E4"/>
    <w:rsid w:val="000E0283"/>
    <w:rsid w:val="000E0410"/>
    <w:rsid w:val="000E0797"/>
    <w:rsid w:val="000E0AAE"/>
    <w:rsid w:val="000E0AE6"/>
    <w:rsid w:val="000E0DE6"/>
    <w:rsid w:val="000E0FF9"/>
    <w:rsid w:val="000E10E7"/>
    <w:rsid w:val="000E1108"/>
    <w:rsid w:val="000E1229"/>
    <w:rsid w:val="000E13DA"/>
    <w:rsid w:val="000E13E8"/>
    <w:rsid w:val="000E1479"/>
    <w:rsid w:val="000E151E"/>
    <w:rsid w:val="000E1ADA"/>
    <w:rsid w:val="000E1E29"/>
    <w:rsid w:val="000E1ED9"/>
    <w:rsid w:val="000E1FE7"/>
    <w:rsid w:val="000E2480"/>
    <w:rsid w:val="000E26EF"/>
    <w:rsid w:val="000E29CC"/>
    <w:rsid w:val="000E2AE7"/>
    <w:rsid w:val="000E2E3A"/>
    <w:rsid w:val="000E2F8B"/>
    <w:rsid w:val="000E3567"/>
    <w:rsid w:val="000E367E"/>
    <w:rsid w:val="000E3D24"/>
    <w:rsid w:val="000E3FC0"/>
    <w:rsid w:val="000E439C"/>
    <w:rsid w:val="000E43EC"/>
    <w:rsid w:val="000E4626"/>
    <w:rsid w:val="000E46C4"/>
    <w:rsid w:val="000E46DB"/>
    <w:rsid w:val="000E47CE"/>
    <w:rsid w:val="000E4827"/>
    <w:rsid w:val="000E4941"/>
    <w:rsid w:val="000E4B15"/>
    <w:rsid w:val="000E4FEF"/>
    <w:rsid w:val="000E508A"/>
    <w:rsid w:val="000E5156"/>
    <w:rsid w:val="000E588B"/>
    <w:rsid w:val="000E5939"/>
    <w:rsid w:val="000E5941"/>
    <w:rsid w:val="000E5DC0"/>
    <w:rsid w:val="000E6049"/>
    <w:rsid w:val="000E60A5"/>
    <w:rsid w:val="000E6214"/>
    <w:rsid w:val="000E6441"/>
    <w:rsid w:val="000E6AF4"/>
    <w:rsid w:val="000E6CA1"/>
    <w:rsid w:val="000E6DE8"/>
    <w:rsid w:val="000E700E"/>
    <w:rsid w:val="000E704D"/>
    <w:rsid w:val="000E7171"/>
    <w:rsid w:val="000E754F"/>
    <w:rsid w:val="000E75F6"/>
    <w:rsid w:val="000E77BC"/>
    <w:rsid w:val="000E7991"/>
    <w:rsid w:val="000E7C46"/>
    <w:rsid w:val="000E7D0C"/>
    <w:rsid w:val="000E7D63"/>
    <w:rsid w:val="000E7EA9"/>
    <w:rsid w:val="000E7F0E"/>
    <w:rsid w:val="000F0048"/>
    <w:rsid w:val="000F00FD"/>
    <w:rsid w:val="000F01C2"/>
    <w:rsid w:val="000F01E9"/>
    <w:rsid w:val="000F0240"/>
    <w:rsid w:val="000F03C5"/>
    <w:rsid w:val="000F044E"/>
    <w:rsid w:val="000F04E5"/>
    <w:rsid w:val="000F0695"/>
    <w:rsid w:val="000F08C9"/>
    <w:rsid w:val="000F08EB"/>
    <w:rsid w:val="000F0984"/>
    <w:rsid w:val="000F0A7B"/>
    <w:rsid w:val="000F0DA0"/>
    <w:rsid w:val="000F0FAC"/>
    <w:rsid w:val="000F11C7"/>
    <w:rsid w:val="000F129C"/>
    <w:rsid w:val="000F12F6"/>
    <w:rsid w:val="000F14F6"/>
    <w:rsid w:val="000F1649"/>
    <w:rsid w:val="000F1B7F"/>
    <w:rsid w:val="000F1BDF"/>
    <w:rsid w:val="000F1C1F"/>
    <w:rsid w:val="000F1D9F"/>
    <w:rsid w:val="000F1EB4"/>
    <w:rsid w:val="000F1EFB"/>
    <w:rsid w:val="000F1F5D"/>
    <w:rsid w:val="000F1FDB"/>
    <w:rsid w:val="000F2253"/>
    <w:rsid w:val="000F286D"/>
    <w:rsid w:val="000F2BF2"/>
    <w:rsid w:val="000F2D17"/>
    <w:rsid w:val="000F2ECB"/>
    <w:rsid w:val="000F2EF8"/>
    <w:rsid w:val="000F314E"/>
    <w:rsid w:val="000F354F"/>
    <w:rsid w:val="000F389D"/>
    <w:rsid w:val="000F39F2"/>
    <w:rsid w:val="000F3AD4"/>
    <w:rsid w:val="000F3B1C"/>
    <w:rsid w:val="000F3B75"/>
    <w:rsid w:val="000F3B92"/>
    <w:rsid w:val="000F3F84"/>
    <w:rsid w:val="000F4088"/>
    <w:rsid w:val="000F417B"/>
    <w:rsid w:val="000F41A3"/>
    <w:rsid w:val="000F46CB"/>
    <w:rsid w:val="000F4CCA"/>
    <w:rsid w:val="000F4EA8"/>
    <w:rsid w:val="000F4FBE"/>
    <w:rsid w:val="000F4FEA"/>
    <w:rsid w:val="000F4FF6"/>
    <w:rsid w:val="000F514C"/>
    <w:rsid w:val="000F5452"/>
    <w:rsid w:val="000F57D2"/>
    <w:rsid w:val="000F587E"/>
    <w:rsid w:val="000F5B10"/>
    <w:rsid w:val="000F5C9F"/>
    <w:rsid w:val="000F5D44"/>
    <w:rsid w:val="000F6156"/>
    <w:rsid w:val="000F65D7"/>
    <w:rsid w:val="000F6974"/>
    <w:rsid w:val="000F6A2D"/>
    <w:rsid w:val="000F6AA0"/>
    <w:rsid w:val="000F72E8"/>
    <w:rsid w:val="000F7555"/>
    <w:rsid w:val="000F7599"/>
    <w:rsid w:val="000F7613"/>
    <w:rsid w:val="000F7679"/>
    <w:rsid w:val="000F7C44"/>
    <w:rsid w:val="000F7CC0"/>
    <w:rsid w:val="001003F0"/>
    <w:rsid w:val="00100509"/>
    <w:rsid w:val="00100607"/>
    <w:rsid w:val="00100824"/>
    <w:rsid w:val="00100A44"/>
    <w:rsid w:val="00100B13"/>
    <w:rsid w:val="00100F34"/>
    <w:rsid w:val="00101130"/>
    <w:rsid w:val="001011E2"/>
    <w:rsid w:val="00101366"/>
    <w:rsid w:val="001015F9"/>
    <w:rsid w:val="001019C0"/>
    <w:rsid w:val="00101B7E"/>
    <w:rsid w:val="00101ECA"/>
    <w:rsid w:val="00101F35"/>
    <w:rsid w:val="00102234"/>
    <w:rsid w:val="001022D6"/>
    <w:rsid w:val="0010234D"/>
    <w:rsid w:val="0010242F"/>
    <w:rsid w:val="00102691"/>
    <w:rsid w:val="00102A6E"/>
    <w:rsid w:val="00102E9A"/>
    <w:rsid w:val="00103389"/>
    <w:rsid w:val="001033DF"/>
    <w:rsid w:val="00103447"/>
    <w:rsid w:val="00103874"/>
    <w:rsid w:val="001038C0"/>
    <w:rsid w:val="00103C27"/>
    <w:rsid w:val="00103CC7"/>
    <w:rsid w:val="00103DA6"/>
    <w:rsid w:val="0010416F"/>
    <w:rsid w:val="00104216"/>
    <w:rsid w:val="00104497"/>
    <w:rsid w:val="0010459F"/>
    <w:rsid w:val="00104747"/>
    <w:rsid w:val="00104945"/>
    <w:rsid w:val="001049AF"/>
    <w:rsid w:val="00104C5D"/>
    <w:rsid w:val="00104F71"/>
    <w:rsid w:val="00104F7B"/>
    <w:rsid w:val="00104FB0"/>
    <w:rsid w:val="0010500E"/>
    <w:rsid w:val="0010550F"/>
    <w:rsid w:val="0010564F"/>
    <w:rsid w:val="001059B5"/>
    <w:rsid w:val="00106395"/>
    <w:rsid w:val="00106437"/>
    <w:rsid w:val="001065AE"/>
    <w:rsid w:val="00106690"/>
    <w:rsid w:val="0010680A"/>
    <w:rsid w:val="001068D8"/>
    <w:rsid w:val="001069D5"/>
    <w:rsid w:val="00106B15"/>
    <w:rsid w:val="00106DDF"/>
    <w:rsid w:val="0010710D"/>
    <w:rsid w:val="001072DD"/>
    <w:rsid w:val="00107637"/>
    <w:rsid w:val="00107AC7"/>
    <w:rsid w:val="00107B1C"/>
    <w:rsid w:val="00107CEF"/>
    <w:rsid w:val="00107FA8"/>
    <w:rsid w:val="00110238"/>
    <w:rsid w:val="00110514"/>
    <w:rsid w:val="0011063B"/>
    <w:rsid w:val="001106CB"/>
    <w:rsid w:val="00110E56"/>
    <w:rsid w:val="001110DB"/>
    <w:rsid w:val="0011121B"/>
    <w:rsid w:val="00111248"/>
    <w:rsid w:val="00111675"/>
    <w:rsid w:val="001116D1"/>
    <w:rsid w:val="001118F3"/>
    <w:rsid w:val="00111A1E"/>
    <w:rsid w:val="00111AFB"/>
    <w:rsid w:val="00111E7D"/>
    <w:rsid w:val="00111F0A"/>
    <w:rsid w:val="001121FC"/>
    <w:rsid w:val="00112A45"/>
    <w:rsid w:val="00112C83"/>
    <w:rsid w:val="00113555"/>
    <w:rsid w:val="00114010"/>
    <w:rsid w:val="00114071"/>
    <w:rsid w:val="00114259"/>
    <w:rsid w:val="00114475"/>
    <w:rsid w:val="0011462E"/>
    <w:rsid w:val="00114660"/>
    <w:rsid w:val="001147A6"/>
    <w:rsid w:val="00114C02"/>
    <w:rsid w:val="00114D2F"/>
    <w:rsid w:val="00114D91"/>
    <w:rsid w:val="00115055"/>
    <w:rsid w:val="0011519A"/>
    <w:rsid w:val="0011530E"/>
    <w:rsid w:val="001154BA"/>
    <w:rsid w:val="0011563C"/>
    <w:rsid w:val="00115936"/>
    <w:rsid w:val="00115BAE"/>
    <w:rsid w:val="00115CE2"/>
    <w:rsid w:val="0011616E"/>
    <w:rsid w:val="00116538"/>
    <w:rsid w:val="00116717"/>
    <w:rsid w:val="00116A44"/>
    <w:rsid w:val="00116D02"/>
    <w:rsid w:val="00117105"/>
    <w:rsid w:val="001172A8"/>
    <w:rsid w:val="00117A7C"/>
    <w:rsid w:val="00117D19"/>
    <w:rsid w:val="001203A9"/>
    <w:rsid w:val="00120600"/>
    <w:rsid w:val="00120644"/>
    <w:rsid w:val="001206BE"/>
    <w:rsid w:val="00120812"/>
    <w:rsid w:val="00120A1A"/>
    <w:rsid w:val="00121349"/>
    <w:rsid w:val="001213C4"/>
    <w:rsid w:val="0012141D"/>
    <w:rsid w:val="00121836"/>
    <w:rsid w:val="00121928"/>
    <w:rsid w:val="00121B1A"/>
    <w:rsid w:val="00122193"/>
    <w:rsid w:val="001221A2"/>
    <w:rsid w:val="001222E1"/>
    <w:rsid w:val="001224FD"/>
    <w:rsid w:val="00122655"/>
    <w:rsid w:val="00122658"/>
    <w:rsid w:val="0012283E"/>
    <w:rsid w:val="00122A6C"/>
    <w:rsid w:val="00122B72"/>
    <w:rsid w:val="00122D5A"/>
    <w:rsid w:val="00122EF6"/>
    <w:rsid w:val="00122F68"/>
    <w:rsid w:val="00123670"/>
    <w:rsid w:val="00123735"/>
    <w:rsid w:val="00123866"/>
    <w:rsid w:val="0012387C"/>
    <w:rsid w:val="0012390A"/>
    <w:rsid w:val="00123921"/>
    <w:rsid w:val="001239C3"/>
    <w:rsid w:val="00124017"/>
    <w:rsid w:val="0012412F"/>
    <w:rsid w:val="0012435D"/>
    <w:rsid w:val="00124439"/>
    <w:rsid w:val="00124660"/>
    <w:rsid w:val="00124716"/>
    <w:rsid w:val="00124A92"/>
    <w:rsid w:val="00124A94"/>
    <w:rsid w:val="00124CD3"/>
    <w:rsid w:val="001251A8"/>
    <w:rsid w:val="00125482"/>
    <w:rsid w:val="001254F5"/>
    <w:rsid w:val="001255D1"/>
    <w:rsid w:val="001257C4"/>
    <w:rsid w:val="00125861"/>
    <w:rsid w:val="00125BC0"/>
    <w:rsid w:val="00125D10"/>
    <w:rsid w:val="00125DC0"/>
    <w:rsid w:val="00126130"/>
    <w:rsid w:val="001261A6"/>
    <w:rsid w:val="00126B1F"/>
    <w:rsid w:val="001271F8"/>
    <w:rsid w:val="0012724A"/>
    <w:rsid w:val="001273DD"/>
    <w:rsid w:val="001276B4"/>
    <w:rsid w:val="00127729"/>
    <w:rsid w:val="00127781"/>
    <w:rsid w:val="001278D9"/>
    <w:rsid w:val="00127E1A"/>
    <w:rsid w:val="0013019A"/>
    <w:rsid w:val="001302C0"/>
    <w:rsid w:val="0013032B"/>
    <w:rsid w:val="00130481"/>
    <w:rsid w:val="00130559"/>
    <w:rsid w:val="0013073F"/>
    <w:rsid w:val="00130779"/>
    <w:rsid w:val="001307D0"/>
    <w:rsid w:val="00130835"/>
    <w:rsid w:val="00130862"/>
    <w:rsid w:val="00130C1F"/>
    <w:rsid w:val="00130CBE"/>
    <w:rsid w:val="00130E68"/>
    <w:rsid w:val="00130EB3"/>
    <w:rsid w:val="00130EF8"/>
    <w:rsid w:val="00131015"/>
    <w:rsid w:val="001315BC"/>
    <w:rsid w:val="00131665"/>
    <w:rsid w:val="0013189A"/>
    <w:rsid w:val="00131937"/>
    <w:rsid w:val="00131A98"/>
    <w:rsid w:val="00131B4F"/>
    <w:rsid w:val="0013203D"/>
    <w:rsid w:val="00132126"/>
    <w:rsid w:val="001321B4"/>
    <w:rsid w:val="00132245"/>
    <w:rsid w:val="0013228E"/>
    <w:rsid w:val="00132297"/>
    <w:rsid w:val="00132923"/>
    <w:rsid w:val="00132D2D"/>
    <w:rsid w:val="00132EA0"/>
    <w:rsid w:val="00132FE7"/>
    <w:rsid w:val="001330E1"/>
    <w:rsid w:val="0013310B"/>
    <w:rsid w:val="00133452"/>
    <w:rsid w:val="001336AE"/>
    <w:rsid w:val="001336E6"/>
    <w:rsid w:val="001339A0"/>
    <w:rsid w:val="00133A64"/>
    <w:rsid w:val="00133DB7"/>
    <w:rsid w:val="00133EBF"/>
    <w:rsid w:val="00133EDA"/>
    <w:rsid w:val="00133FE3"/>
    <w:rsid w:val="0013413D"/>
    <w:rsid w:val="0013472C"/>
    <w:rsid w:val="0013497D"/>
    <w:rsid w:val="00134A03"/>
    <w:rsid w:val="00134B84"/>
    <w:rsid w:val="00134DD5"/>
    <w:rsid w:val="00134EA4"/>
    <w:rsid w:val="00135263"/>
    <w:rsid w:val="0013541B"/>
    <w:rsid w:val="001355C0"/>
    <w:rsid w:val="001355D1"/>
    <w:rsid w:val="0013576D"/>
    <w:rsid w:val="001358E5"/>
    <w:rsid w:val="00135975"/>
    <w:rsid w:val="00135E15"/>
    <w:rsid w:val="001360DA"/>
    <w:rsid w:val="001361AE"/>
    <w:rsid w:val="00136516"/>
    <w:rsid w:val="00136645"/>
    <w:rsid w:val="00136817"/>
    <w:rsid w:val="0013690D"/>
    <w:rsid w:val="00136967"/>
    <w:rsid w:val="001369FE"/>
    <w:rsid w:val="00136B09"/>
    <w:rsid w:val="00136BE7"/>
    <w:rsid w:val="00136C8E"/>
    <w:rsid w:val="00136E4A"/>
    <w:rsid w:val="00136F03"/>
    <w:rsid w:val="0013714C"/>
    <w:rsid w:val="0013717C"/>
    <w:rsid w:val="001371DA"/>
    <w:rsid w:val="0013752F"/>
    <w:rsid w:val="00137A49"/>
    <w:rsid w:val="00137BFF"/>
    <w:rsid w:val="00137D5E"/>
    <w:rsid w:val="00140351"/>
    <w:rsid w:val="00140619"/>
    <w:rsid w:val="00140A3A"/>
    <w:rsid w:val="00140A40"/>
    <w:rsid w:val="00140A62"/>
    <w:rsid w:val="00140AC1"/>
    <w:rsid w:val="00140C82"/>
    <w:rsid w:val="00140E50"/>
    <w:rsid w:val="00141090"/>
    <w:rsid w:val="00141481"/>
    <w:rsid w:val="001414C6"/>
    <w:rsid w:val="001417B0"/>
    <w:rsid w:val="00141A94"/>
    <w:rsid w:val="00141F1F"/>
    <w:rsid w:val="00141F69"/>
    <w:rsid w:val="00142305"/>
    <w:rsid w:val="0014299E"/>
    <w:rsid w:val="00142C93"/>
    <w:rsid w:val="00142C9D"/>
    <w:rsid w:val="00142FE3"/>
    <w:rsid w:val="0014311F"/>
    <w:rsid w:val="00143562"/>
    <w:rsid w:val="0014362A"/>
    <w:rsid w:val="001436D5"/>
    <w:rsid w:val="001437F6"/>
    <w:rsid w:val="00143898"/>
    <w:rsid w:val="00143973"/>
    <w:rsid w:val="00143E7B"/>
    <w:rsid w:val="00143FE4"/>
    <w:rsid w:val="0014461C"/>
    <w:rsid w:val="00144688"/>
    <w:rsid w:val="00144A07"/>
    <w:rsid w:val="00144B2D"/>
    <w:rsid w:val="00144D51"/>
    <w:rsid w:val="00145071"/>
    <w:rsid w:val="00145112"/>
    <w:rsid w:val="00145131"/>
    <w:rsid w:val="00145150"/>
    <w:rsid w:val="00145739"/>
    <w:rsid w:val="0014587E"/>
    <w:rsid w:val="00145C03"/>
    <w:rsid w:val="00145D30"/>
    <w:rsid w:val="00145DD6"/>
    <w:rsid w:val="00145F23"/>
    <w:rsid w:val="00146051"/>
    <w:rsid w:val="00146267"/>
    <w:rsid w:val="0014686F"/>
    <w:rsid w:val="00146ABA"/>
    <w:rsid w:val="00146C14"/>
    <w:rsid w:val="00146D08"/>
    <w:rsid w:val="00146D2E"/>
    <w:rsid w:val="00146DC9"/>
    <w:rsid w:val="00146F16"/>
    <w:rsid w:val="00146F21"/>
    <w:rsid w:val="00146F79"/>
    <w:rsid w:val="00147043"/>
    <w:rsid w:val="00147215"/>
    <w:rsid w:val="00147335"/>
    <w:rsid w:val="00147371"/>
    <w:rsid w:val="00147373"/>
    <w:rsid w:val="0014749A"/>
    <w:rsid w:val="0014749F"/>
    <w:rsid w:val="0014758D"/>
    <w:rsid w:val="001475DB"/>
    <w:rsid w:val="0014782C"/>
    <w:rsid w:val="00147A22"/>
    <w:rsid w:val="00147FEE"/>
    <w:rsid w:val="00150664"/>
    <w:rsid w:val="00150726"/>
    <w:rsid w:val="00150994"/>
    <w:rsid w:val="001509CF"/>
    <w:rsid w:val="00150C38"/>
    <w:rsid w:val="00150C6B"/>
    <w:rsid w:val="00150DAA"/>
    <w:rsid w:val="00150F2F"/>
    <w:rsid w:val="00151018"/>
    <w:rsid w:val="001510C9"/>
    <w:rsid w:val="00151187"/>
    <w:rsid w:val="00151620"/>
    <w:rsid w:val="001516A6"/>
    <w:rsid w:val="00151A67"/>
    <w:rsid w:val="00151C3E"/>
    <w:rsid w:val="00152072"/>
    <w:rsid w:val="001521FC"/>
    <w:rsid w:val="00152385"/>
    <w:rsid w:val="00152479"/>
    <w:rsid w:val="0015253E"/>
    <w:rsid w:val="00152560"/>
    <w:rsid w:val="00152983"/>
    <w:rsid w:val="00152A04"/>
    <w:rsid w:val="00152A58"/>
    <w:rsid w:val="00152BF7"/>
    <w:rsid w:val="00152DB6"/>
    <w:rsid w:val="00152EE9"/>
    <w:rsid w:val="00152F2F"/>
    <w:rsid w:val="00153002"/>
    <w:rsid w:val="001533C9"/>
    <w:rsid w:val="001538E3"/>
    <w:rsid w:val="00153AC0"/>
    <w:rsid w:val="00153B01"/>
    <w:rsid w:val="00153B39"/>
    <w:rsid w:val="00153C13"/>
    <w:rsid w:val="00153F92"/>
    <w:rsid w:val="00154386"/>
    <w:rsid w:val="001549AC"/>
    <w:rsid w:val="00154E65"/>
    <w:rsid w:val="00154F51"/>
    <w:rsid w:val="001555EE"/>
    <w:rsid w:val="00155B08"/>
    <w:rsid w:val="00155CCD"/>
    <w:rsid w:val="00156120"/>
    <w:rsid w:val="0015615D"/>
    <w:rsid w:val="0015619C"/>
    <w:rsid w:val="001561D1"/>
    <w:rsid w:val="001563D5"/>
    <w:rsid w:val="00156531"/>
    <w:rsid w:val="00156796"/>
    <w:rsid w:val="0015683C"/>
    <w:rsid w:val="00156996"/>
    <w:rsid w:val="00156B56"/>
    <w:rsid w:val="0015703A"/>
    <w:rsid w:val="001570EA"/>
    <w:rsid w:val="00157681"/>
    <w:rsid w:val="00157A2E"/>
    <w:rsid w:val="00157AE7"/>
    <w:rsid w:val="00157BD7"/>
    <w:rsid w:val="00157C04"/>
    <w:rsid w:val="00157D77"/>
    <w:rsid w:val="00160014"/>
    <w:rsid w:val="0016002C"/>
    <w:rsid w:val="0016015E"/>
    <w:rsid w:val="00160302"/>
    <w:rsid w:val="001603B5"/>
    <w:rsid w:val="001603CB"/>
    <w:rsid w:val="001606E4"/>
    <w:rsid w:val="0016098D"/>
    <w:rsid w:val="00160C65"/>
    <w:rsid w:val="00160E1E"/>
    <w:rsid w:val="00160EFB"/>
    <w:rsid w:val="00160FFF"/>
    <w:rsid w:val="00161176"/>
    <w:rsid w:val="001615AF"/>
    <w:rsid w:val="001618B1"/>
    <w:rsid w:val="00161DB4"/>
    <w:rsid w:val="001625D6"/>
    <w:rsid w:val="001625DE"/>
    <w:rsid w:val="00162881"/>
    <w:rsid w:val="0016298B"/>
    <w:rsid w:val="00162994"/>
    <w:rsid w:val="00162A4D"/>
    <w:rsid w:val="0016301B"/>
    <w:rsid w:val="0016325C"/>
    <w:rsid w:val="0016329F"/>
    <w:rsid w:val="00163333"/>
    <w:rsid w:val="00163A5A"/>
    <w:rsid w:val="00163F4C"/>
    <w:rsid w:val="00164046"/>
    <w:rsid w:val="00164197"/>
    <w:rsid w:val="00164327"/>
    <w:rsid w:val="001644AF"/>
    <w:rsid w:val="0016485D"/>
    <w:rsid w:val="00164B94"/>
    <w:rsid w:val="00164CA4"/>
    <w:rsid w:val="00164E78"/>
    <w:rsid w:val="00165275"/>
    <w:rsid w:val="001653E8"/>
    <w:rsid w:val="001654D3"/>
    <w:rsid w:val="001655C2"/>
    <w:rsid w:val="0016571E"/>
    <w:rsid w:val="00165A66"/>
    <w:rsid w:val="00165FA4"/>
    <w:rsid w:val="00166276"/>
    <w:rsid w:val="001664E6"/>
    <w:rsid w:val="001665AA"/>
    <w:rsid w:val="0016676C"/>
    <w:rsid w:val="00166A90"/>
    <w:rsid w:val="00166AFF"/>
    <w:rsid w:val="00166B0B"/>
    <w:rsid w:val="00166B2D"/>
    <w:rsid w:val="00166B3C"/>
    <w:rsid w:val="001676BC"/>
    <w:rsid w:val="001678B4"/>
    <w:rsid w:val="00167D7E"/>
    <w:rsid w:val="00170264"/>
    <w:rsid w:val="00170328"/>
    <w:rsid w:val="001706C5"/>
    <w:rsid w:val="0017073D"/>
    <w:rsid w:val="0017092F"/>
    <w:rsid w:val="00170A5D"/>
    <w:rsid w:val="00170B32"/>
    <w:rsid w:val="00170D8C"/>
    <w:rsid w:val="00170DE2"/>
    <w:rsid w:val="00170EFC"/>
    <w:rsid w:val="00171331"/>
    <w:rsid w:val="00171CD8"/>
    <w:rsid w:val="00171F0B"/>
    <w:rsid w:val="0017266F"/>
    <w:rsid w:val="00172C4D"/>
    <w:rsid w:val="00172C61"/>
    <w:rsid w:val="00172D98"/>
    <w:rsid w:val="00172DF5"/>
    <w:rsid w:val="00172F08"/>
    <w:rsid w:val="00172FE4"/>
    <w:rsid w:val="00173021"/>
    <w:rsid w:val="00173060"/>
    <w:rsid w:val="0017308D"/>
    <w:rsid w:val="00173160"/>
    <w:rsid w:val="0017363A"/>
    <w:rsid w:val="001738EE"/>
    <w:rsid w:val="00173AD7"/>
    <w:rsid w:val="00173D30"/>
    <w:rsid w:val="00173DFC"/>
    <w:rsid w:val="00174074"/>
    <w:rsid w:val="001740CC"/>
    <w:rsid w:val="001748B8"/>
    <w:rsid w:val="0017495E"/>
    <w:rsid w:val="00174A02"/>
    <w:rsid w:val="00174A52"/>
    <w:rsid w:val="00174D01"/>
    <w:rsid w:val="00175087"/>
    <w:rsid w:val="00175453"/>
    <w:rsid w:val="001754C6"/>
    <w:rsid w:val="001754C9"/>
    <w:rsid w:val="00175552"/>
    <w:rsid w:val="00175579"/>
    <w:rsid w:val="00175754"/>
    <w:rsid w:val="00175769"/>
    <w:rsid w:val="00175A26"/>
    <w:rsid w:val="00175E12"/>
    <w:rsid w:val="00175EFB"/>
    <w:rsid w:val="001761CB"/>
    <w:rsid w:val="00176385"/>
    <w:rsid w:val="00176448"/>
    <w:rsid w:val="001764E2"/>
    <w:rsid w:val="001765CB"/>
    <w:rsid w:val="00176683"/>
    <w:rsid w:val="001766BD"/>
    <w:rsid w:val="00176A21"/>
    <w:rsid w:val="00176B78"/>
    <w:rsid w:val="00176D32"/>
    <w:rsid w:val="0017711C"/>
    <w:rsid w:val="001776EF"/>
    <w:rsid w:val="001777B2"/>
    <w:rsid w:val="00177846"/>
    <w:rsid w:val="001779E4"/>
    <w:rsid w:val="00177C2C"/>
    <w:rsid w:val="00177EA8"/>
    <w:rsid w:val="001800FC"/>
    <w:rsid w:val="00180362"/>
    <w:rsid w:val="0018048D"/>
    <w:rsid w:val="00180953"/>
    <w:rsid w:val="0018097E"/>
    <w:rsid w:val="00180BD1"/>
    <w:rsid w:val="00180DB1"/>
    <w:rsid w:val="00180E99"/>
    <w:rsid w:val="0018101F"/>
    <w:rsid w:val="00181200"/>
    <w:rsid w:val="0018128E"/>
    <w:rsid w:val="0018143D"/>
    <w:rsid w:val="001815AC"/>
    <w:rsid w:val="001815DF"/>
    <w:rsid w:val="00181626"/>
    <w:rsid w:val="001816E3"/>
    <w:rsid w:val="0018170B"/>
    <w:rsid w:val="00181A8C"/>
    <w:rsid w:val="00181B83"/>
    <w:rsid w:val="00181C55"/>
    <w:rsid w:val="00181F86"/>
    <w:rsid w:val="00182272"/>
    <w:rsid w:val="001827F7"/>
    <w:rsid w:val="00182E37"/>
    <w:rsid w:val="00182F68"/>
    <w:rsid w:val="0018315A"/>
    <w:rsid w:val="001832C6"/>
    <w:rsid w:val="00183B09"/>
    <w:rsid w:val="00183B8F"/>
    <w:rsid w:val="00183BA0"/>
    <w:rsid w:val="00184683"/>
    <w:rsid w:val="00184BB8"/>
    <w:rsid w:val="00185159"/>
    <w:rsid w:val="00185232"/>
    <w:rsid w:val="00185259"/>
    <w:rsid w:val="001852C1"/>
    <w:rsid w:val="001854BF"/>
    <w:rsid w:val="00185565"/>
    <w:rsid w:val="001855EA"/>
    <w:rsid w:val="00185948"/>
    <w:rsid w:val="001859E2"/>
    <w:rsid w:val="00185B76"/>
    <w:rsid w:val="00185DD2"/>
    <w:rsid w:val="00185E75"/>
    <w:rsid w:val="00185EA0"/>
    <w:rsid w:val="00186020"/>
    <w:rsid w:val="001860BB"/>
    <w:rsid w:val="001861A6"/>
    <w:rsid w:val="0018621A"/>
    <w:rsid w:val="00186241"/>
    <w:rsid w:val="001863F3"/>
    <w:rsid w:val="001867D9"/>
    <w:rsid w:val="00186AA7"/>
    <w:rsid w:val="00186C21"/>
    <w:rsid w:val="00186E65"/>
    <w:rsid w:val="00187332"/>
    <w:rsid w:val="001877A5"/>
    <w:rsid w:val="001878F8"/>
    <w:rsid w:val="00187C6E"/>
    <w:rsid w:val="00187CFE"/>
    <w:rsid w:val="00187DC0"/>
    <w:rsid w:val="00187E4F"/>
    <w:rsid w:val="00187E61"/>
    <w:rsid w:val="00187F22"/>
    <w:rsid w:val="001901DC"/>
    <w:rsid w:val="00190506"/>
    <w:rsid w:val="0019055F"/>
    <w:rsid w:val="00190941"/>
    <w:rsid w:val="001909B1"/>
    <w:rsid w:val="0019148B"/>
    <w:rsid w:val="00191592"/>
    <w:rsid w:val="001917C3"/>
    <w:rsid w:val="0019189D"/>
    <w:rsid w:val="00191ABA"/>
    <w:rsid w:val="00191BB7"/>
    <w:rsid w:val="00191C95"/>
    <w:rsid w:val="00191F47"/>
    <w:rsid w:val="0019259F"/>
    <w:rsid w:val="001926E7"/>
    <w:rsid w:val="00192819"/>
    <w:rsid w:val="001928F0"/>
    <w:rsid w:val="00192907"/>
    <w:rsid w:val="00192D1C"/>
    <w:rsid w:val="00192D1F"/>
    <w:rsid w:val="00192F5C"/>
    <w:rsid w:val="0019331C"/>
    <w:rsid w:val="00193369"/>
    <w:rsid w:val="0019343A"/>
    <w:rsid w:val="001935B0"/>
    <w:rsid w:val="001935CD"/>
    <w:rsid w:val="00193999"/>
    <w:rsid w:val="00193CE6"/>
    <w:rsid w:val="00194080"/>
    <w:rsid w:val="001940CF"/>
    <w:rsid w:val="0019416C"/>
    <w:rsid w:val="0019419F"/>
    <w:rsid w:val="001943EE"/>
    <w:rsid w:val="0019450F"/>
    <w:rsid w:val="001945D6"/>
    <w:rsid w:val="00194A0B"/>
    <w:rsid w:val="00194C92"/>
    <w:rsid w:val="0019531B"/>
    <w:rsid w:val="0019570F"/>
    <w:rsid w:val="001959C1"/>
    <w:rsid w:val="00195B56"/>
    <w:rsid w:val="00195C95"/>
    <w:rsid w:val="00196094"/>
    <w:rsid w:val="001961FB"/>
    <w:rsid w:val="001969A7"/>
    <w:rsid w:val="00196C04"/>
    <w:rsid w:val="00196C2A"/>
    <w:rsid w:val="00196C6F"/>
    <w:rsid w:val="00197101"/>
    <w:rsid w:val="00197132"/>
    <w:rsid w:val="00197196"/>
    <w:rsid w:val="001971E7"/>
    <w:rsid w:val="00197288"/>
    <w:rsid w:val="00197640"/>
    <w:rsid w:val="001979D8"/>
    <w:rsid w:val="00197E07"/>
    <w:rsid w:val="00197E30"/>
    <w:rsid w:val="00197E74"/>
    <w:rsid w:val="001A00D2"/>
    <w:rsid w:val="001A0201"/>
    <w:rsid w:val="001A0341"/>
    <w:rsid w:val="001A03C4"/>
    <w:rsid w:val="001A03CA"/>
    <w:rsid w:val="001A06F7"/>
    <w:rsid w:val="001A0946"/>
    <w:rsid w:val="001A0B01"/>
    <w:rsid w:val="001A0BD7"/>
    <w:rsid w:val="001A0C6B"/>
    <w:rsid w:val="001A100D"/>
    <w:rsid w:val="001A1254"/>
    <w:rsid w:val="001A1447"/>
    <w:rsid w:val="001A14D8"/>
    <w:rsid w:val="001A1BAB"/>
    <w:rsid w:val="001A2532"/>
    <w:rsid w:val="001A2796"/>
    <w:rsid w:val="001A2B75"/>
    <w:rsid w:val="001A2EDC"/>
    <w:rsid w:val="001A2FE9"/>
    <w:rsid w:val="001A309B"/>
    <w:rsid w:val="001A3569"/>
    <w:rsid w:val="001A3752"/>
    <w:rsid w:val="001A3860"/>
    <w:rsid w:val="001A3CA3"/>
    <w:rsid w:val="001A3F56"/>
    <w:rsid w:val="001A3FB6"/>
    <w:rsid w:val="001A41D1"/>
    <w:rsid w:val="001A4246"/>
    <w:rsid w:val="001A4531"/>
    <w:rsid w:val="001A466E"/>
    <w:rsid w:val="001A48B9"/>
    <w:rsid w:val="001A49EA"/>
    <w:rsid w:val="001A4CDD"/>
    <w:rsid w:val="001A4DD2"/>
    <w:rsid w:val="001A4DEA"/>
    <w:rsid w:val="001A503E"/>
    <w:rsid w:val="001A5424"/>
    <w:rsid w:val="001A5487"/>
    <w:rsid w:val="001A57EB"/>
    <w:rsid w:val="001A598A"/>
    <w:rsid w:val="001A5AD4"/>
    <w:rsid w:val="001A6336"/>
    <w:rsid w:val="001A6493"/>
    <w:rsid w:val="001A64C6"/>
    <w:rsid w:val="001A658A"/>
    <w:rsid w:val="001A66E2"/>
    <w:rsid w:val="001A6F22"/>
    <w:rsid w:val="001A6F71"/>
    <w:rsid w:val="001A7122"/>
    <w:rsid w:val="001A7218"/>
    <w:rsid w:val="001A7712"/>
    <w:rsid w:val="001A7978"/>
    <w:rsid w:val="001A797F"/>
    <w:rsid w:val="001A7C88"/>
    <w:rsid w:val="001A7EEA"/>
    <w:rsid w:val="001A7FFA"/>
    <w:rsid w:val="001B00CD"/>
    <w:rsid w:val="001B01BA"/>
    <w:rsid w:val="001B0700"/>
    <w:rsid w:val="001B08E3"/>
    <w:rsid w:val="001B08EE"/>
    <w:rsid w:val="001B0968"/>
    <w:rsid w:val="001B0BF0"/>
    <w:rsid w:val="001B0FE5"/>
    <w:rsid w:val="001B1017"/>
    <w:rsid w:val="001B16EA"/>
    <w:rsid w:val="001B17C3"/>
    <w:rsid w:val="001B193D"/>
    <w:rsid w:val="001B1A90"/>
    <w:rsid w:val="001B1B8E"/>
    <w:rsid w:val="001B1C28"/>
    <w:rsid w:val="001B1F74"/>
    <w:rsid w:val="001B235C"/>
    <w:rsid w:val="001B2465"/>
    <w:rsid w:val="001B256E"/>
    <w:rsid w:val="001B2642"/>
    <w:rsid w:val="001B2A9A"/>
    <w:rsid w:val="001B2B93"/>
    <w:rsid w:val="001B2D05"/>
    <w:rsid w:val="001B3051"/>
    <w:rsid w:val="001B31E5"/>
    <w:rsid w:val="001B32CA"/>
    <w:rsid w:val="001B33BB"/>
    <w:rsid w:val="001B3402"/>
    <w:rsid w:val="001B3630"/>
    <w:rsid w:val="001B3A43"/>
    <w:rsid w:val="001B3BB5"/>
    <w:rsid w:val="001B3DC3"/>
    <w:rsid w:val="001B409B"/>
    <w:rsid w:val="001B4112"/>
    <w:rsid w:val="001B417F"/>
    <w:rsid w:val="001B4269"/>
    <w:rsid w:val="001B47DA"/>
    <w:rsid w:val="001B4B18"/>
    <w:rsid w:val="001B4E56"/>
    <w:rsid w:val="001B525A"/>
    <w:rsid w:val="001B547B"/>
    <w:rsid w:val="001B57C9"/>
    <w:rsid w:val="001B5BF5"/>
    <w:rsid w:val="001B5CAF"/>
    <w:rsid w:val="001B628B"/>
    <w:rsid w:val="001B62BB"/>
    <w:rsid w:val="001B6310"/>
    <w:rsid w:val="001B6B8F"/>
    <w:rsid w:val="001B73E0"/>
    <w:rsid w:val="001B7466"/>
    <w:rsid w:val="001B776D"/>
    <w:rsid w:val="001B78C2"/>
    <w:rsid w:val="001B78CC"/>
    <w:rsid w:val="001B7CC4"/>
    <w:rsid w:val="001B7E59"/>
    <w:rsid w:val="001B7E96"/>
    <w:rsid w:val="001B7EB3"/>
    <w:rsid w:val="001C01A3"/>
    <w:rsid w:val="001C0386"/>
    <w:rsid w:val="001C06B5"/>
    <w:rsid w:val="001C06DA"/>
    <w:rsid w:val="001C0C5E"/>
    <w:rsid w:val="001C0CBC"/>
    <w:rsid w:val="001C1860"/>
    <w:rsid w:val="001C19B5"/>
    <w:rsid w:val="001C1C38"/>
    <w:rsid w:val="001C1E16"/>
    <w:rsid w:val="001C1F67"/>
    <w:rsid w:val="001C1FDD"/>
    <w:rsid w:val="001C1FE6"/>
    <w:rsid w:val="001C218E"/>
    <w:rsid w:val="001C2200"/>
    <w:rsid w:val="001C237B"/>
    <w:rsid w:val="001C26FC"/>
    <w:rsid w:val="001C2C1D"/>
    <w:rsid w:val="001C2F0F"/>
    <w:rsid w:val="001C3184"/>
    <w:rsid w:val="001C31B7"/>
    <w:rsid w:val="001C323F"/>
    <w:rsid w:val="001C346D"/>
    <w:rsid w:val="001C36B1"/>
    <w:rsid w:val="001C3C2A"/>
    <w:rsid w:val="001C3C44"/>
    <w:rsid w:val="001C3CFB"/>
    <w:rsid w:val="001C3FA6"/>
    <w:rsid w:val="001C3FDE"/>
    <w:rsid w:val="001C40BF"/>
    <w:rsid w:val="001C494E"/>
    <w:rsid w:val="001C497D"/>
    <w:rsid w:val="001C4E04"/>
    <w:rsid w:val="001C5264"/>
    <w:rsid w:val="001C56A3"/>
    <w:rsid w:val="001C5B19"/>
    <w:rsid w:val="001C5C8B"/>
    <w:rsid w:val="001C5DEC"/>
    <w:rsid w:val="001C5E2A"/>
    <w:rsid w:val="001C5E9E"/>
    <w:rsid w:val="001C617F"/>
    <w:rsid w:val="001C6249"/>
    <w:rsid w:val="001C6303"/>
    <w:rsid w:val="001C6CA2"/>
    <w:rsid w:val="001C6E10"/>
    <w:rsid w:val="001C70DE"/>
    <w:rsid w:val="001C7524"/>
    <w:rsid w:val="001C7719"/>
    <w:rsid w:val="001C78FC"/>
    <w:rsid w:val="001C7BD9"/>
    <w:rsid w:val="001C7D79"/>
    <w:rsid w:val="001C7E9A"/>
    <w:rsid w:val="001D03BF"/>
    <w:rsid w:val="001D070A"/>
    <w:rsid w:val="001D081C"/>
    <w:rsid w:val="001D089D"/>
    <w:rsid w:val="001D0972"/>
    <w:rsid w:val="001D09EF"/>
    <w:rsid w:val="001D0AD5"/>
    <w:rsid w:val="001D0BEF"/>
    <w:rsid w:val="001D1119"/>
    <w:rsid w:val="001D12E0"/>
    <w:rsid w:val="001D14B1"/>
    <w:rsid w:val="001D1D27"/>
    <w:rsid w:val="001D1FCE"/>
    <w:rsid w:val="001D222D"/>
    <w:rsid w:val="001D2290"/>
    <w:rsid w:val="001D2542"/>
    <w:rsid w:val="001D2679"/>
    <w:rsid w:val="001D2E94"/>
    <w:rsid w:val="001D2FEB"/>
    <w:rsid w:val="001D32F2"/>
    <w:rsid w:val="001D366A"/>
    <w:rsid w:val="001D43BD"/>
    <w:rsid w:val="001D4408"/>
    <w:rsid w:val="001D45F9"/>
    <w:rsid w:val="001D4970"/>
    <w:rsid w:val="001D4A14"/>
    <w:rsid w:val="001D4FBD"/>
    <w:rsid w:val="001D540E"/>
    <w:rsid w:val="001D55D9"/>
    <w:rsid w:val="001D585D"/>
    <w:rsid w:val="001D5AE9"/>
    <w:rsid w:val="001D5AF1"/>
    <w:rsid w:val="001D5B30"/>
    <w:rsid w:val="001D5D4E"/>
    <w:rsid w:val="001D5E31"/>
    <w:rsid w:val="001D6138"/>
    <w:rsid w:val="001D6239"/>
    <w:rsid w:val="001D6377"/>
    <w:rsid w:val="001D680E"/>
    <w:rsid w:val="001D6991"/>
    <w:rsid w:val="001D6AA1"/>
    <w:rsid w:val="001D6CC8"/>
    <w:rsid w:val="001D6D6A"/>
    <w:rsid w:val="001D6F2B"/>
    <w:rsid w:val="001D7F92"/>
    <w:rsid w:val="001D7FC9"/>
    <w:rsid w:val="001E0288"/>
    <w:rsid w:val="001E0306"/>
    <w:rsid w:val="001E0392"/>
    <w:rsid w:val="001E04EC"/>
    <w:rsid w:val="001E0EBD"/>
    <w:rsid w:val="001E117E"/>
    <w:rsid w:val="001E127E"/>
    <w:rsid w:val="001E12E6"/>
    <w:rsid w:val="001E146E"/>
    <w:rsid w:val="001E1537"/>
    <w:rsid w:val="001E15F0"/>
    <w:rsid w:val="001E1949"/>
    <w:rsid w:val="001E1E7C"/>
    <w:rsid w:val="001E2032"/>
    <w:rsid w:val="001E22E1"/>
    <w:rsid w:val="001E275E"/>
    <w:rsid w:val="001E276E"/>
    <w:rsid w:val="001E28D8"/>
    <w:rsid w:val="001E2B8A"/>
    <w:rsid w:val="001E2D5A"/>
    <w:rsid w:val="001E2D9A"/>
    <w:rsid w:val="001E2E6D"/>
    <w:rsid w:val="001E2FA6"/>
    <w:rsid w:val="001E3000"/>
    <w:rsid w:val="001E3A0A"/>
    <w:rsid w:val="001E3B9E"/>
    <w:rsid w:val="001E4050"/>
    <w:rsid w:val="001E42AC"/>
    <w:rsid w:val="001E446C"/>
    <w:rsid w:val="001E454F"/>
    <w:rsid w:val="001E463C"/>
    <w:rsid w:val="001E4B98"/>
    <w:rsid w:val="001E4E58"/>
    <w:rsid w:val="001E4E90"/>
    <w:rsid w:val="001E4F27"/>
    <w:rsid w:val="001E54C2"/>
    <w:rsid w:val="001E55E1"/>
    <w:rsid w:val="001E5678"/>
    <w:rsid w:val="001E5688"/>
    <w:rsid w:val="001E5817"/>
    <w:rsid w:val="001E59DD"/>
    <w:rsid w:val="001E5E24"/>
    <w:rsid w:val="001E5E3C"/>
    <w:rsid w:val="001E5EE5"/>
    <w:rsid w:val="001E5F6F"/>
    <w:rsid w:val="001E5FF4"/>
    <w:rsid w:val="001E60E7"/>
    <w:rsid w:val="001E6651"/>
    <w:rsid w:val="001E671F"/>
    <w:rsid w:val="001E6901"/>
    <w:rsid w:val="001E69A9"/>
    <w:rsid w:val="001E6AC2"/>
    <w:rsid w:val="001E6BD6"/>
    <w:rsid w:val="001E6D4D"/>
    <w:rsid w:val="001E6F8C"/>
    <w:rsid w:val="001E75BB"/>
    <w:rsid w:val="001E79A1"/>
    <w:rsid w:val="001E79F4"/>
    <w:rsid w:val="001E7AB2"/>
    <w:rsid w:val="001E7F91"/>
    <w:rsid w:val="001F03E6"/>
    <w:rsid w:val="001F04F2"/>
    <w:rsid w:val="001F05BF"/>
    <w:rsid w:val="001F0A32"/>
    <w:rsid w:val="001F0A71"/>
    <w:rsid w:val="001F0DB3"/>
    <w:rsid w:val="001F0FAF"/>
    <w:rsid w:val="001F1459"/>
    <w:rsid w:val="001F14A6"/>
    <w:rsid w:val="001F14E9"/>
    <w:rsid w:val="001F1691"/>
    <w:rsid w:val="001F1694"/>
    <w:rsid w:val="001F1C4D"/>
    <w:rsid w:val="001F1FE1"/>
    <w:rsid w:val="001F22D4"/>
    <w:rsid w:val="001F23AC"/>
    <w:rsid w:val="001F25CA"/>
    <w:rsid w:val="001F25DD"/>
    <w:rsid w:val="001F2675"/>
    <w:rsid w:val="001F27B4"/>
    <w:rsid w:val="001F2AC9"/>
    <w:rsid w:val="001F2EFE"/>
    <w:rsid w:val="001F300F"/>
    <w:rsid w:val="001F316D"/>
    <w:rsid w:val="001F32EC"/>
    <w:rsid w:val="001F343E"/>
    <w:rsid w:val="001F34E3"/>
    <w:rsid w:val="001F3737"/>
    <w:rsid w:val="001F3B06"/>
    <w:rsid w:val="001F3B2A"/>
    <w:rsid w:val="001F3BE9"/>
    <w:rsid w:val="001F3F39"/>
    <w:rsid w:val="001F4159"/>
    <w:rsid w:val="001F415E"/>
    <w:rsid w:val="001F4301"/>
    <w:rsid w:val="001F43E1"/>
    <w:rsid w:val="001F458E"/>
    <w:rsid w:val="001F49A8"/>
    <w:rsid w:val="001F4C2D"/>
    <w:rsid w:val="001F4C75"/>
    <w:rsid w:val="001F4D99"/>
    <w:rsid w:val="001F4E0A"/>
    <w:rsid w:val="001F4F4F"/>
    <w:rsid w:val="001F586D"/>
    <w:rsid w:val="001F5942"/>
    <w:rsid w:val="001F5952"/>
    <w:rsid w:val="001F5D4A"/>
    <w:rsid w:val="001F5F9A"/>
    <w:rsid w:val="001F5FB2"/>
    <w:rsid w:val="001F6064"/>
    <w:rsid w:val="001F611F"/>
    <w:rsid w:val="001F61E5"/>
    <w:rsid w:val="001F641A"/>
    <w:rsid w:val="001F686C"/>
    <w:rsid w:val="001F6977"/>
    <w:rsid w:val="001F6AEB"/>
    <w:rsid w:val="001F6C81"/>
    <w:rsid w:val="001F6CB3"/>
    <w:rsid w:val="001F6DD6"/>
    <w:rsid w:val="001F6F33"/>
    <w:rsid w:val="001F7121"/>
    <w:rsid w:val="001F7285"/>
    <w:rsid w:val="001F72C9"/>
    <w:rsid w:val="001F75E2"/>
    <w:rsid w:val="001F7682"/>
    <w:rsid w:val="001F76F1"/>
    <w:rsid w:val="001F7906"/>
    <w:rsid w:val="001F7980"/>
    <w:rsid w:val="001F7A22"/>
    <w:rsid w:val="001F7B81"/>
    <w:rsid w:val="001F7CD0"/>
    <w:rsid w:val="00200401"/>
    <w:rsid w:val="00200892"/>
    <w:rsid w:val="00200ADF"/>
    <w:rsid w:val="00200C28"/>
    <w:rsid w:val="00200C4A"/>
    <w:rsid w:val="0020104B"/>
    <w:rsid w:val="00201064"/>
    <w:rsid w:val="0020153F"/>
    <w:rsid w:val="0020156D"/>
    <w:rsid w:val="002018DC"/>
    <w:rsid w:val="002019C9"/>
    <w:rsid w:val="00201BBC"/>
    <w:rsid w:val="00201E43"/>
    <w:rsid w:val="0020210D"/>
    <w:rsid w:val="00202874"/>
    <w:rsid w:val="0020293D"/>
    <w:rsid w:val="0020295A"/>
    <w:rsid w:val="002029AC"/>
    <w:rsid w:val="00202ADB"/>
    <w:rsid w:val="00202BD7"/>
    <w:rsid w:val="002030FC"/>
    <w:rsid w:val="00203565"/>
    <w:rsid w:val="002035B6"/>
    <w:rsid w:val="0020375C"/>
    <w:rsid w:val="00203AB0"/>
    <w:rsid w:val="00203BF3"/>
    <w:rsid w:val="002043C3"/>
    <w:rsid w:val="00204409"/>
    <w:rsid w:val="00204752"/>
    <w:rsid w:val="0020478F"/>
    <w:rsid w:val="002048D7"/>
    <w:rsid w:val="00204B44"/>
    <w:rsid w:val="00204F67"/>
    <w:rsid w:val="002050D2"/>
    <w:rsid w:val="002059A7"/>
    <w:rsid w:val="002059C0"/>
    <w:rsid w:val="00205A02"/>
    <w:rsid w:val="00205ABC"/>
    <w:rsid w:val="00205E9F"/>
    <w:rsid w:val="00205FDC"/>
    <w:rsid w:val="00206005"/>
    <w:rsid w:val="002069FF"/>
    <w:rsid w:val="00206ABA"/>
    <w:rsid w:val="00206CBD"/>
    <w:rsid w:val="0020706E"/>
    <w:rsid w:val="0020765B"/>
    <w:rsid w:val="002077B1"/>
    <w:rsid w:val="002077B8"/>
    <w:rsid w:val="002077DF"/>
    <w:rsid w:val="002079A8"/>
    <w:rsid w:val="00207B18"/>
    <w:rsid w:val="00207D1A"/>
    <w:rsid w:val="0021027E"/>
    <w:rsid w:val="002104C3"/>
    <w:rsid w:val="00210512"/>
    <w:rsid w:val="00210961"/>
    <w:rsid w:val="00210AB7"/>
    <w:rsid w:val="00210BE0"/>
    <w:rsid w:val="002115B9"/>
    <w:rsid w:val="002116D0"/>
    <w:rsid w:val="00211980"/>
    <w:rsid w:val="00211F42"/>
    <w:rsid w:val="00212807"/>
    <w:rsid w:val="002128CC"/>
    <w:rsid w:val="00212C45"/>
    <w:rsid w:val="00212CA2"/>
    <w:rsid w:val="00212F9C"/>
    <w:rsid w:val="0021305B"/>
    <w:rsid w:val="0021310E"/>
    <w:rsid w:val="0021349D"/>
    <w:rsid w:val="002135C0"/>
    <w:rsid w:val="002136C8"/>
    <w:rsid w:val="00213701"/>
    <w:rsid w:val="00213C86"/>
    <w:rsid w:val="00213D84"/>
    <w:rsid w:val="002140F0"/>
    <w:rsid w:val="0021457C"/>
    <w:rsid w:val="002146BF"/>
    <w:rsid w:val="00214E5E"/>
    <w:rsid w:val="00214EE1"/>
    <w:rsid w:val="00214F7A"/>
    <w:rsid w:val="00215309"/>
    <w:rsid w:val="002153A1"/>
    <w:rsid w:val="002153CF"/>
    <w:rsid w:val="00215498"/>
    <w:rsid w:val="002154AA"/>
    <w:rsid w:val="002155DB"/>
    <w:rsid w:val="00215724"/>
    <w:rsid w:val="00215772"/>
    <w:rsid w:val="002157CE"/>
    <w:rsid w:val="00215B44"/>
    <w:rsid w:val="00215D3A"/>
    <w:rsid w:val="0021628A"/>
    <w:rsid w:val="002165D3"/>
    <w:rsid w:val="00217A62"/>
    <w:rsid w:val="00217ABC"/>
    <w:rsid w:val="00217B90"/>
    <w:rsid w:val="00217E4F"/>
    <w:rsid w:val="00217E62"/>
    <w:rsid w:val="00217EF0"/>
    <w:rsid w:val="00220082"/>
    <w:rsid w:val="00220731"/>
    <w:rsid w:val="00220C43"/>
    <w:rsid w:val="00220D1E"/>
    <w:rsid w:val="00220EE1"/>
    <w:rsid w:val="002210DF"/>
    <w:rsid w:val="00221188"/>
    <w:rsid w:val="0022119F"/>
    <w:rsid w:val="00221599"/>
    <w:rsid w:val="002217E9"/>
    <w:rsid w:val="00221D9F"/>
    <w:rsid w:val="00221E78"/>
    <w:rsid w:val="002221D7"/>
    <w:rsid w:val="002222CE"/>
    <w:rsid w:val="002227AF"/>
    <w:rsid w:val="002227F0"/>
    <w:rsid w:val="002228E0"/>
    <w:rsid w:val="00222984"/>
    <w:rsid w:val="00222D36"/>
    <w:rsid w:val="00222EB5"/>
    <w:rsid w:val="0022317F"/>
    <w:rsid w:val="0022336A"/>
    <w:rsid w:val="002235C2"/>
    <w:rsid w:val="002236AF"/>
    <w:rsid w:val="002237CB"/>
    <w:rsid w:val="002239C7"/>
    <w:rsid w:val="00223B7F"/>
    <w:rsid w:val="00223BF1"/>
    <w:rsid w:val="00223D63"/>
    <w:rsid w:val="00223F3F"/>
    <w:rsid w:val="0022404C"/>
    <w:rsid w:val="0022437B"/>
    <w:rsid w:val="002244A7"/>
    <w:rsid w:val="002247A2"/>
    <w:rsid w:val="002247FE"/>
    <w:rsid w:val="00224972"/>
    <w:rsid w:val="00224C4A"/>
    <w:rsid w:val="00224ECB"/>
    <w:rsid w:val="00224FD4"/>
    <w:rsid w:val="00224FFF"/>
    <w:rsid w:val="002252EF"/>
    <w:rsid w:val="00225430"/>
    <w:rsid w:val="00225475"/>
    <w:rsid w:val="0022553B"/>
    <w:rsid w:val="002255C3"/>
    <w:rsid w:val="00225797"/>
    <w:rsid w:val="00225862"/>
    <w:rsid w:val="00225954"/>
    <w:rsid w:val="00225983"/>
    <w:rsid w:val="002260BA"/>
    <w:rsid w:val="002260E7"/>
    <w:rsid w:val="002262FF"/>
    <w:rsid w:val="002264C7"/>
    <w:rsid w:val="002268DA"/>
    <w:rsid w:val="00226BFD"/>
    <w:rsid w:val="00226C2A"/>
    <w:rsid w:val="00226CEE"/>
    <w:rsid w:val="00226DED"/>
    <w:rsid w:val="00226E9D"/>
    <w:rsid w:val="002270AA"/>
    <w:rsid w:val="00227331"/>
    <w:rsid w:val="00227A82"/>
    <w:rsid w:val="00227D5E"/>
    <w:rsid w:val="0023093E"/>
    <w:rsid w:val="00230CEB"/>
    <w:rsid w:val="00230E53"/>
    <w:rsid w:val="00230EA8"/>
    <w:rsid w:val="00230FD1"/>
    <w:rsid w:val="00231103"/>
    <w:rsid w:val="0023118B"/>
    <w:rsid w:val="002316F7"/>
    <w:rsid w:val="00231840"/>
    <w:rsid w:val="002318BC"/>
    <w:rsid w:val="002319C2"/>
    <w:rsid w:val="00231D23"/>
    <w:rsid w:val="00231DD6"/>
    <w:rsid w:val="002320CD"/>
    <w:rsid w:val="002324C1"/>
    <w:rsid w:val="0023259A"/>
    <w:rsid w:val="002326D4"/>
    <w:rsid w:val="00232861"/>
    <w:rsid w:val="002328E7"/>
    <w:rsid w:val="00232917"/>
    <w:rsid w:val="00232A32"/>
    <w:rsid w:val="00232C4A"/>
    <w:rsid w:val="00232F3D"/>
    <w:rsid w:val="002330CE"/>
    <w:rsid w:val="00233294"/>
    <w:rsid w:val="002334C4"/>
    <w:rsid w:val="00233556"/>
    <w:rsid w:val="00233795"/>
    <w:rsid w:val="002338E3"/>
    <w:rsid w:val="00233A9B"/>
    <w:rsid w:val="00233D4E"/>
    <w:rsid w:val="00233DDB"/>
    <w:rsid w:val="002340D6"/>
    <w:rsid w:val="0023419E"/>
    <w:rsid w:val="00234209"/>
    <w:rsid w:val="002342B4"/>
    <w:rsid w:val="00234385"/>
    <w:rsid w:val="002345ED"/>
    <w:rsid w:val="002346AE"/>
    <w:rsid w:val="002347E4"/>
    <w:rsid w:val="00234E63"/>
    <w:rsid w:val="00234F1E"/>
    <w:rsid w:val="00235071"/>
    <w:rsid w:val="002352EF"/>
    <w:rsid w:val="00235325"/>
    <w:rsid w:val="002353B4"/>
    <w:rsid w:val="00235436"/>
    <w:rsid w:val="002355FA"/>
    <w:rsid w:val="0023566E"/>
    <w:rsid w:val="002357B2"/>
    <w:rsid w:val="0023583C"/>
    <w:rsid w:val="002358CB"/>
    <w:rsid w:val="00235915"/>
    <w:rsid w:val="00235C48"/>
    <w:rsid w:val="00235CC6"/>
    <w:rsid w:val="00235DA0"/>
    <w:rsid w:val="002360E2"/>
    <w:rsid w:val="00236769"/>
    <w:rsid w:val="0023696A"/>
    <w:rsid w:val="00236A06"/>
    <w:rsid w:val="00236EAB"/>
    <w:rsid w:val="0023715E"/>
    <w:rsid w:val="00237303"/>
    <w:rsid w:val="00237476"/>
    <w:rsid w:val="00237503"/>
    <w:rsid w:val="0023759D"/>
    <w:rsid w:val="00237B95"/>
    <w:rsid w:val="00237BCD"/>
    <w:rsid w:val="00237E2F"/>
    <w:rsid w:val="00237EB4"/>
    <w:rsid w:val="00237F39"/>
    <w:rsid w:val="00237FE8"/>
    <w:rsid w:val="00240135"/>
    <w:rsid w:val="0024020C"/>
    <w:rsid w:val="00240387"/>
    <w:rsid w:val="0024050B"/>
    <w:rsid w:val="00240736"/>
    <w:rsid w:val="00240842"/>
    <w:rsid w:val="00240A57"/>
    <w:rsid w:val="00240C50"/>
    <w:rsid w:val="00240E18"/>
    <w:rsid w:val="002412DA"/>
    <w:rsid w:val="0024130F"/>
    <w:rsid w:val="0024161E"/>
    <w:rsid w:val="00241792"/>
    <w:rsid w:val="0024191E"/>
    <w:rsid w:val="00241D6F"/>
    <w:rsid w:val="00241D9B"/>
    <w:rsid w:val="002422C1"/>
    <w:rsid w:val="00242371"/>
    <w:rsid w:val="002427B3"/>
    <w:rsid w:val="00242AF8"/>
    <w:rsid w:val="00242C9B"/>
    <w:rsid w:val="00242CCE"/>
    <w:rsid w:val="00242F15"/>
    <w:rsid w:val="002431B5"/>
    <w:rsid w:val="00243221"/>
    <w:rsid w:val="002433E5"/>
    <w:rsid w:val="002439B6"/>
    <w:rsid w:val="00243A1D"/>
    <w:rsid w:val="00243E6E"/>
    <w:rsid w:val="002440B0"/>
    <w:rsid w:val="00244241"/>
    <w:rsid w:val="002443F0"/>
    <w:rsid w:val="0024482F"/>
    <w:rsid w:val="00244853"/>
    <w:rsid w:val="00244E34"/>
    <w:rsid w:val="0024531D"/>
    <w:rsid w:val="00245390"/>
    <w:rsid w:val="0024555C"/>
    <w:rsid w:val="00245638"/>
    <w:rsid w:val="002456DD"/>
    <w:rsid w:val="0024573C"/>
    <w:rsid w:val="002457AA"/>
    <w:rsid w:val="00245832"/>
    <w:rsid w:val="00245A04"/>
    <w:rsid w:val="00245B33"/>
    <w:rsid w:val="00245E7A"/>
    <w:rsid w:val="00245F2E"/>
    <w:rsid w:val="00246030"/>
    <w:rsid w:val="002461EC"/>
    <w:rsid w:val="0024622C"/>
    <w:rsid w:val="00246245"/>
    <w:rsid w:val="002462DB"/>
    <w:rsid w:val="0024676E"/>
    <w:rsid w:val="00246882"/>
    <w:rsid w:val="00246AE0"/>
    <w:rsid w:val="00246BC8"/>
    <w:rsid w:val="00246CF8"/>
    <w:rsid w:val="00246E14"/>
    <w:rsid w:val="0024767E"/>
    <w:rsid w:val="0024782D"/>
    <w:rsid w:val="0024798B"/>
    <w:rsid w:val="00247A9A"/>
    <w:rsid w:val="00247DEF"/>
    <w:rsid w:val="00247E42"/>
    <w:rsid w:val="00247E4F"/>
    <w:rsid w:val="00247ED6"/>
    <w:rsid w:val="00250232"/>
    <w:rsid w:val="00250B00"/>
    <w:rsid w:val="00250C9C"/>
    <w:rsid w:val="00250D88"/>
    <w:rsid w:val="00250E61"/>
    <w:rsid w:val="00250E73"/>
    <w:rsid w:val="00251074"/>
    <w:rsid w:val="00251129"/>
    <w:rsid w:val="0025133F"/>
    <w:rsid w:val="002515E9"/>
    <w:rsid w:val="00251662"/>
    <w:rsid w:val="00251685"/>
    <w:rsid w:val="00251831"/>
    <w:rsid w:val="00251918"/>
    <w:rsid w:val="0025198E"/>
    <w:rsid w:val="00251AC3"/>
    <w:rsid w:val="00251FD3"/>
    <w:rsid w:val="0025216C"/>
    <w:rsid w:val="002524EA"/>
    <w:rsid w:val="002525C5"/>
    <w:rsid w:val="0025294D"/>
    <w:rsid w:val="00252DED"/>
    <w:rsid w:val="00252E3C"/>
    <w:rsid w:val="0025335C"/>
    <w:rsid w:val="00253410"/>
    <w:rsid w:val="00253661"/>
    <w:rsid w:val="00253E24"/>
    <w:rsid w:val="00253EDB"/>
    <w:rsid w:val="00253F0D"/>
    <w:rsid w:val="002542AC"/>
    <w:rsid w:val="0025432F"/>
    <w:rsid w:val="00254613"/>
    <w:rsid w:val="002547E3"/>
    <w:rsid w:val="00254919"/>
    <w:rsid w:val="00254D3E"/>
    <w:rsid w:val="002550A4"/>
    <w:rsid w:val="002550DA"/>
    <w:rsid w:val="002551E8"/>
    <w:rsid w:val="002551F9"/>
    <w:rsid w:val="00255247"/>
    <w:rsid w:val="00255344"/>
    <w:rsid w:val="00255384"/>
    <w:rsid w:val="00255442"/>
    <w:rsid w:val="0025567A"/>
    <w:rsid w:val="002558D6"/>
    <w:rsid w:val="00255B5E"/>
    <w:rsid w:val="00255BA2"/>
    <w:rsid w:val="00255D5E"/>
    <w:rsid w:val="00255E55"/>
    <w:rsid w:val="00255E63"/>
    <w:rsid w:val="00256992"/>
    <w:rsid w:val="00256AF9"/>
    <w:rsid w:val="00256B8E"/>
    <w:rsid w:val="00256F6F"/>
    <w:rsid w:val="002571EC"/>
    <w:rsid w:val="00257314"/>
    <w:rsid w:val="0025746B"/>
    <w:rsid w:val="002577FC"/>
    <w:rsid w:val="00257877"/>
    <w:rsid w:val="0026008F"/>
    <w:rsid w:val="00260199"/>
    <w:rsid w:val="0026049D"/>
    <w:rsid w:val="002606ED"/>
    <w:rsid w:val="002613BA"/>
    <w:rsid w:val="0026147F"/>
    <w:rsid w:val="002614DE"/>
    <w:rsid w:val="00261571"/>
    <w:rsid w:val="0026161B"/>
    <w:rsid w:val="002616E6"/>
    <w:rsid w:val="00261803"/>
    <w:rsid w:val="0026189D"/>
    <w:rsid w:val="00261B16"/>
    <w:rsid w:val="00261BBB"/>
    <w:rsid w:val="00261E5C"/>
    <w:rsid w:val="002623E5"/>
    <w:rsid w:val="00262506"/>
    <w:rsid w:val="002626D0"/>
    <w:rsid w:val="00262CE8"/>
    <w:rsid w:val="00262E6E"/>
    <w:rsid w:val="00263086"/>
    <w:rsid w:val="002630BA"/>
    <w:rsid w:val="002631B2"/>
    <w:rsid w:val="00263A04"/>
    <w:rsid w:val="00263A78"/>
    <w:rsid w:val="00263ACC"/>
    <w:rsid w:val="00263ACE"/>
    <w:rsid w:val="00263C91"/>
    <w:rsid w:val="00263CCF"/>
    <w:rsid w:val="00263D64"/>
    <w:rsid w:val="00263DDF"/>
    <w:rsid w:val="0026400B"/>
    <w:rsid w:val="00264635"/>
    <w:rsid w:val="002647A3"/>
    <w:rsid w:val="00264907"/>
    <w:rsid w:val="00264958"/>
    <w:rsid w:val="00264A33"/>
    <w:rsid w:val="00264BF9"/>
    <w:rsid w:val="00264D3D"/>
    <w:rsid w:val="00264DF5"/>
    <w:rsid w:val="00264DFF"/>
    <w:rsid w:val="00264EF7"/>
    <w:rsid w:val="00264F3D"/>
    <w:rsid w:val="00265023"/>
    <w:rsid w:val="002650AB"/>
    <w:rsid w:val="002650E9"/>
    <w:rsid w:val="0026548B"/>
    <w:rsid w:val="00265809"/>
    <w:rsid w:val="00265877"/>
    <w:rsid w:val="00265BC5"/>
    <w:rsid w:val="00265E36"/>
    <w:rsid w:val="002666BE"/>
    <w:rsid w:val="00266860"/>
    <w:rsid w:val="002668A8"/>
    <w:rsid w:val="00266933"/>
    <w:rsid w:val="00266AD4"/>
    <w:rsid w:val="00266CE2"/>
    <w:rsid w:val="00266FDB"/>
    <w:rsid w:val="002672AD"/>
    <w:rsid w:val="002672BD"/>
    <w:rsid w:val="0026762D"/>
    <w:rsid w:val="002677B3"/>
    <w:rsid w:val="00267C15"/>
    <w:rsid w:val="00267C73"/>
    <w:rsid w:val="00267F81"/>
    <w:rsid w:val="00270061"/>
    <w:rsid w:val="0027021E"/>
    <w:rsid w:val="00270262"/>
    <w:rsid w:val="00270A12"/>
    <w:rsid w:val="00270AA1"/>
    <w:rsid w:val="00270AD3"/>
    <w:rsid w:val="00270AEE"/>
    <w:rsid w:val="00270E0B"/>
    <w:rsid w:val="00270ED2"/>
    <w:rsid w:val="00270ED3"/>
    <w:rsid w:val="0027140C"/>
    <w:rsid w:val="0027160D"/>
    <w:rsid w:val="0027163A"/>
    <w:rsid w:val="002716DF"/>
    <w:rsid w:val="002719D1"/>
    <w:rsid w:val="00272129"/>
    <w:rsid w:val="002721F9"/>
    <w:rsid w:val="0027278B"/>
    <w:rsid w:val="0027292B"/>
    <w:rsid w:val="00272A42"/>
    <w:rsid w:val="00272BC4"/>
    <w:rsid w:val="00272E56"/>
    <w:rsid w:val="00273889"/>
    <w:rsid w:val="002739AD"/>
    <w:rsid w:val="002739DE"/>
    <w:rsid w:val="00274337"/>
    <w:rsid w:val="0027433B"/>
    <w:rsid w:val="0027449E"/>
    <w:rsid w:val="00274520"/>
    <w:rsid w:val="002745DC"/>
    <w:rsid w:val="00274644"/>
    <w:rsid w:val="002746EC"/>
    <w:rsid w:val="00274728"/>
    <w:rsid w:val="00274AF0"/>
    <w:rsid w:val="00274CE7"/>
    <w:rsid w:val="002751A5"/>
    <w:rsid w:val="00275205"/>
    <w:rsid w:val="002755CE"/>
    <w:rsid w:val="002757D0"/>
    <w:rsid w:val="00275D99"/>
    <w:rsid w:val="00275DCB"/>
    <w:rsid w:val="00275F81"/>
    <w:rsid w:val="0027630B"/>
    <w:rsid w:val="002763E1"/>
    <w:rsid w:val="00276595"/>
    <w:rsid w:val="00276943"/>
    <w:rsid w:val="00276A0A"/>
    <w:rsid w:val="00276B31"/>
    <w:rsid w:val="00276E5E"/>
    <w:rsid w:val="00276F60"/>
    <w:rsid w:val="002770B2"/>
    <w:rsid w:val="002770E6"/>
    <w:rsid w:val="002770EB"/>
    <w:rsid w:val="00277135"/>
    <w:rsid w:val="00277181"/>
    <w:rsid w:val="002772A3"/>
    <w:rsid w:val="00277325"/>
    <w:rsid w:val="0027794D"/>
    <w:rsid w:val="00277A15"/>
    <w:rsid w:val="00277B82"/>
    <w:rsid w:val="00277BF6"/>
    <w:rsid w:val="00277C07"/>
    <w:rsid w:val="00277C38"/>
    <w:rsid w:val="00277F24"/>
    <w:rsid w:val="002803F4"/>
    <w:rsid w:val="00280490"/>
    <w:rsid w:val="0028096D"/>
    <w:rsid w:val="00280B4E"/>
    <w:rsid w:val="00280D16"/>
    <w:rsid w:val="00280DD5"/>
    <w:rsid w:val="00280FC0"/>
    <w:rsid w:val="00281066"/>
    <w:rsid w:val="002810AA"/>
    <w:rsid w:val="002810B5"/>
    <w:rsid w:val="002811C2"/>
    <w:rsid w:val="00281401"/>
    <w:rsid w:val="0028141F"/>
    <w:rsid w:val="00281642"/>
    <w:rsid w:val="002816C7"/>
    <w:rsid w:val="00281A4D"/>
    <w:rsid w:val="00281BF3"/>
    <w:rsid w:val="00281D24"/>
    <w:rsid w:val="00281E73"/>
    <w:rsid w:val="00281E93"/>
    <w:rsid w:val="00281FD5"/>
    <w:rsid w:val="002822DF"/>
    <w:rsid w:val="00282391"/>
    <w:rsid w:val="002827FE"/>
    <w:rsid w:val="00282960"/>
    <w:rsid w:val="00282BCB"/>
    <w:rsid w:val="00282D51"/>
    <w:rsid w:val="00282E05"/>
    <w:rsid w:val="002830C2"/>
    <w:rsid w:val="002835E0"/>
    <w:rsid w:val="00283790"/>
    <w:rsid w:val="00283A23"/>
    <w:rsid w:val="00283B70"/>
    <w:rsid w:val="00284043"/>
    <w:rsid w:val="00284224"/>
    <w:rsid w:val="00284574"/>
    <w:rsid w:val="00284688"/>
    <w:rsid w:val="002846D2"/>
    <w:rsid w:val="00284A27"/>
    <w:rsid w:val="00284BC0"/>
    <w:rsid w:val="00284D89"/>
    <w:rsid w:val="00284E07"/>
    <w:rsid w:val="00284EA1"/>
    <w:rsid w:val="002851AE"/>
    <w:rsid w:val="0028540C"/>
    <w:rsid w:val="002854C4"/>
    <w:rsid w:val="002854FC"/>
    <w:rsid w:val="002858D6"/>
    <w:rsid w:val="002858E8"/>
    <w:rsid w:val="00285B43"/>
    <w:rsid w:val="0028606A"/>
    <w:rsid w:val="00286101"/>
    <w:rsid w:val="00286533"/>
    <w:rsid w:val="00286602"/>
    <w:rsid w:val="002869E8"/>
    <w:rsid w:val="00286A5D"/>
    <w:rsid w:val="00286B71"/>
    <w:rsid w:val="00286DE8"/>
    <w:rsid w:val="00286FF1"/>
    <w:rsid w:val="002876D4"/>
    <w:rsid w:val="00287802"/>
    <w:rsid w:val="002878C2"/>
    <w:rsid w:val="002878F6"/>
    <w:rsid w:val="00287BC7"/>
    <w:rsid w:val="00287D16"/>
    <w:rsid w:val="00287FA2"/>
    <w:rsid w:val="00290217"/>
    <w:rsid w:val="00290257"/>
    <w:rsid w:val="00290D0C"/>
    <w:rsid w:val="00290EC5"/>
    <w:rsid w:val="00291119"/>
    <w:rsid w:val="00291279"/>
    <w:rsid w:val="002912DE"/>
    <w:rsid w:val="0029135A"/>
    <w:rsid w:val="00291428"/>
    <w:rsid w:val="002915CB"/>
    <w:rsid w:val="00291A3A"/>
    <w:rsid w:val="00291AD1"/>
    <w:rsid w:val="00291EAA"/>
    <w:rsid w:val="00292097"/>
    <w:rsid w:val="00292299"/>
    <w:rsid w:val="00292419"/>
    <w:rsid w:val="00292462"/>
    <w:rsid w:val="0029248D"/>
    <w:rsid w:val="002924D4"/>
    <w:rsid w:val="0029266E"/>
    <w:rsid w:val="002927A2"/>
    <w:rsid w:val="00292939"/>
    <w:rsid w:val="00292ADA"/>
    <w:rsid w:val="00292DE9"/>
    <w:rsid w:val="00292FEB"/>
    <w:rsid w:val="00292FF2"/>
    <w:rsid w:val="00293077"/>
    <w:rsid w:val="002930D1"/>
    <w:rsid w:val="00293460"/>
    <w:rsid w:val="00293976"/>
    <w:rsid w:val="002939C2"/>
    <w:rsid w:val="00293C5A"/>
    <w:rsid w:val="00293D28"/>
    <w:rsid w:val="00294316"/>
    <w:rsid w:val="00294321"/>
    <w:rsid w:val="0029433F"/>
    <w:rsid w:val="002943DC"/>
    <w:rsid w:val="0029488A"/>
    <w:rsid w:val="00294FEE"/>
    <w:rsid w:val="002954A5"/>
    <w:rsid w:val="00295E38"/>
    <w:rsid w:val="00296265"/>
    <w:rsid w:val="00296378"/>
    <w:rsid w:val="002965B6"/>
    <w:rsid w:val="0029661D"/>
    <w:rsid w:val="0029665B"/>
    <w:rsid w:val="002967AE"/>
    <w:rsid w:val="00296A81"/>
    <w:rsid w:val="00296B9C"/>
    <w:rsid w:val="002971A2"/>
    <w:rsid w:val="002978A4"/>
    <w:rsid w:val="002979B3"/>
    <w:rsid w:val="002979C8"/>
    <w:rsid w:val="00297B77"/>
    <w:rsid w:val="00297DD9"/>
    <w:rsid w:val="00297E25"/>
    <w:rsid w:val="002A08D0"/>
    <w:rsid w:val="002A0DC4"/>
    <w:rsid w:val="002A1009"/>
    <w:rsid w:val="002A1048"/>
    <w:rsid w:val="002A115A"/>
    <w:rsid w:val="002A1246"/>
    <w:rsid w:val="002A12BB"/>
    <w:rsid w:val="002A1640"/>
    <w:rsid w:val="002A1982"/>
    <w:rsid w:val="002A19F4"/>
    <w:rsid w:val="002A19FB"/>
    <w:rsid w:val="002A1C49"/>
    <w:rsid w:val="002A1D67"/>
    <w:rsid w:val="002A1E15"/>
    <w:rsid w:val="002A1E5E"/>
    <w:rsid w:val="002A2576"/>
    <w:rsid w:val="002A264F"/>
    <w:rsid w:val="002A285D"/>
    <w:rsid w:val="002A2A03"/>
    <w:rsid w:val="002A2D7C"/>
    <w:rsid w:val="002A2F13"/>
    <w:rsid w:val="002A2F5E"/>
    <w:rsid w:val="002A339D"/>
    <w:rsid w:val="002A340D"/>
    <w:rsid w:val="002A371D"/>
    <w:rsid w:val="002A3BE7"/>
    <w:rsid w:val="002A3CF8"/>
    <w:rsid w:val="002A400E"/>
    <w:rsid w:val="002A4208"/>
    <w:rsid w:val="002A42E8"/>
    <w:rsid w:val="002A42EA"/>
    <w:rsid w:val="002A43F0"/>
    <w:rsid w:val="002A45E1"/>
    <w:rsid w:val="002A4B56"/>
    <w:rsid w:val="002A4E37"/>
    <w:rsid w:val="002A5147"/>
    <w:rsid w:val="002A515E"/>
    <w:rsid w:val="002A53BA"/>
    <w:rsid w:val="002A546F"/>
    <w:rsid w:val="002A54E6"/>
    <w:rsid w:val="002A56BB"/>
    <w:rsid w:val="002A5B63"/>
    <w:rsid w:val="002A5D51"/>
    <w:rsid w:val="002A5DC6"/>
    <w:rsid w:val="002A6617"/>
    <w:rsid w:val="002A671A"/>
    <w:rsid w:val="002A6729"/>
    <w:rsid w:val="002A6875"/>
    <w:rsid w:val="002A6A4C"/>
    <w:rsid w:val="002A6C45"/>
    <w:rsid w:val="002A7020"/>
    <w:rsid w:val="002A70CF"/>
    <w:rsid w:val="002A75A5"/>
    <w:rsid w:val="002A762B"/>
    <w:rsid w:val="002A7937"/>
    <w:rsid w:val="002A79D1"/>
    <w:rsid w:val="002A7A4E"/>
    <w:rsid w:val="002A7B3D"/>
    <w:rsid w:val="002A7CA8"/>
    <w:rsid w:val="002A7DC8"/>
    <w:rsid w:val="002A7E27"/>
    <w:rsid w:val="002B0135"/>
    <w:rsid w:val="002B02E2"/>
    <w:rsid w:val="002B03DF"/>
    <w:rsid w:val="002B06F5"/>
    <w:rsid w:val="002B06FE"/>
    <w:rsid w:val="002B07CF"/>
    <w:rsid w:val="002B0814"/>
    <w:rsid w:val="002B0836"/>
    <w:rsid w:val="002B0909"/>
    <w:rsid w:val="002B0982"/>
    <w:rsid w:val="002B0989"/>
    <w:rsid w:val="002B0AA8"/>
    <w:rsid w:val="002B11CC"/>
    <w:rsid w:val="002B139B"/>
    <w:rsid w:val="002B13BC"/>
    <w:rsid w:val="002B14CE"/>
    <w:rsid w:val="002B156B"/>
    <w:rsid w:val="002B1A76"/>
    <w:rsid w:val="002B1C96"/>
    <w:rsid w:val="002B1CF5"/>
    <w:rsid w:val="002B21CC"/>
    <w:rsid w:val="002B2464"/>
    <w:rsid w:val="002B24BF"/>
    <w:rsid w:val="002B250D"/>
    <w:rsid w:val="002B25BF"/>
    <w:rsid w:val="002B2637"/>
    <w:rsid w:val="002B26AD"/>
    <w:rsid w:val="002B2766"/>
    <w:rsid w:val="002B29E9"/>
    <w:rsid w:val="002B2DFB"/>
    <w:rsid w:val="002B3127"/>
    <w:rsid w:val="002B3879"/>
    <w:rsid w:val="002B3A8A"/>
    <w:rsid w:val="002B3B73"/>
    <w:rsid w:val="002B3BE6"/>
    <w:rsid w:val="002B3D6B"/>
    <w:rsid w:val="002B3EBB"/>
    <w:rsid w:val="002B44AC"/>
    <w:rsid w:val="002B464D"/>
    <w:rsid w:val="002B4A1A"/>
    <w:rsid w:val="002B4A1D"/>
    <w:rsid w:val="002B4B59"/>
    <w:rsid w:val="002B4DDE"/>
    <w:rsid w:val="002B4DE6"/>
    <w:rsid w:val="002B4E5A"/>
    <w:rsid w:val="002B4FF8"/>
    <w:rsid w:val="002B5121"/>
    <w:rsid w:val="002B5DC8"/>
    <w:rsid w:val="002B5EC0"/>
    <w:rsid w:val="002B5F6D"/>
    <w:rsid w:val="002B603F"/>
    <w:rsid w:val="002B61F1"/>
    <w:rsid w:val="002B6575"/>
    <w:rsid w:val="002B65E3"/>
    <w:rsid w:val="002B67A5"/>
    <w:rsid w:val="002B6A29"/>
    <w:rsid w:val="002B6A6C"/>
    <w:rsid w:val="002B6CB7"/>
    <w:rsid w:val="002B70BD"/>
    <w:rsid w:val="002B7112"/>
    <w:rsid w:val="002B71E6"/>
    <w:rsid w:val="002B738B"/>
    <w:rsid w:val="002B77E7"/>
    <w:rsid w:val="002B7A13"/>
    <w:rsid w:val="002B7E96"/>
    <w:rsid w:val="002C0004"/>
    <w:rsid w:val="002C04AC"/>
    <w:rsid w:val="002C04F1"/>
    <w:rsid w:val="002C0B0B"/>
    <w:rsid w:val="002C1494"/>
    <w:rsid w:val="002C188E"/>
    <w:rsid w:val="002C18D6"/>
    <w:rsid w:val="002C195A"/>
    <w:rsid w:val="002C1A6F"/>
    <w:rsid w:val="002C1CA2"/>
    <w:rsid w:val="002C222E"/>
    <w:rsid w:val="002C2418"/>
    <w:rsid w:val="002C241D"/>
    <w:rsid w:val="002C26A4"/>
    <w:rsid w:val="002C2A13"/>
    <w:rsid w:val="002C2F52"/>
    <w:rsid w:val="002C2FF4"/>
    <w:rsid w:val="002C308F"/>
    <w:rsid w:val="002C30F2"/>
    <w:rsid w:val="002C31DB"/>
    <w:rsid w:val="002C3287"/>
    <w:rsid w:val="002C3447"/>
    <w:rsid w:val="002C3582"/>
    <w:rsid w:val="002C35F3"/>
    <w:rsid w:val="002C369A"/>
    <w:rsid w:val="002C38C6"/>
    <w:rsid w:val="002C38C7"/>
    <w:rsid w:val="002C3C66"/>
    <w:rsid w:val="002C3E53"/>
    <w:rsid w:val="002C3ECE"/>
    <w:rsid w:val="002C42DC"/>
    <w:rsid w:val="002C4373"/>
    <w:rsid w:val="002C4AE2"/>
    <w:rsid w:val="002C4F27"/>
    <w:rsid w:val="002C5007"/>
    <w:rsid w:val="002C52F1"/>
    <w:rsid w:val="002C55DC"/>
    <w:rsid w:val="002C569F"/>
    <w:rsid w:val="002C5711"/>
    <w:rsid w:val="002C5A19"/>
    <w:rsid w:val="002C5BE1"/>
    <w:rsid w:val="002C5D1B"/>
    <w:rsid w:val="002C5FB3"/>
    <w:rsid w:val="002C615F"/>
    <w:rsid w:val="002C6427"/>
    <w:rsid w:val="002C6914"/>
    <w:rsid w:val="002C7060"/>
    <w:rsid w:val="002C7227"/>
    <w:rsid w:val="002C72BE"/>
    <w:rsid w:val="002C76E7"/>
    <w:rsid w:val="002C76EE"/>
    <w:rsid w:val="002C775D"/>
    <w:rsid w:val="002C792E"/>
    <w:rsid w:val="002C7BC1"/>
    <w:rsid w:val="002C7F57"/>
    <w:rsid w:val="002C7F5E"/>
    <w:rsid w:val="002D01A3"/>
    <w:rsid w:val="002D0265"/>
    <w:rsid w:val="002D0449"/>
    <w:rsid w:val="002D05C1"/>
    <w:rsid w:val="002D0889"/>
    <w:rsid w:val="002D09FE"/>
    <w:rsid w:val="002D0D89"/>
    <w:rsid w:val="002D0E5E"/>
    <w:rsid w:val="002D0E76"/>
    <w:rsid w:val="002D118B"/>
    <w:rsid w:val="002D14B6"/>
    <w:rsid w:val="002D16D3"/>
    <w:rsid w:val="002D17E8"/>
    <w:rsid w:val="002D1915"/>
    <w:rsid w:val="002D1A05"/>
    <w:rsid w:val="002D1A43"/>
    <w:rsid w:val="002D1BC9"/>
    <w:rsid w:val="002D202F"/>
    <w:rsid w:val="002D23B4"/>
    <w:rsid w:val="002D274F"/>
    <w:rsid w:val="002D28EC"/>
    <w:rsid w:val="002D2A5B"/>
    <w:rsid w:val="002D2BC2"/>
    <w:rsid w:val="002D2C59"/>
    <w:rsid w:val="002D2F1F"/>
    <w:rsid w:val="002D2F40"/>
    <w:rsid w:val="002D32F5"/>
    <w:rsid w:val="002D3410"/>
    <w:rsid w:val="002D3599"/>
    <w:rsid w:val="002D37D8"/>
    <w:rsid w:val="002D3B6E"/>
    <w:rsid w:val="002D3EF3"/>
    <w:rsid w:val="002D4003"/>
    <w:rsid w:val="002D4222"/>
    <w:rsid w:val="002D4547"/>
    <w:rsid w:val="002D47FE"/>
    <w:rsid w:val="002D4C30"/>
    <w:rsid w:val="002D4C9F"/>
    <w:rsid w:val="002D4CC5"/>
    <w:rsid w:val="002D4D87"/>
    <w:rsid w:val="002D4FC6"/>
    <w:rsid w:val="002D51B1"/>
    <w:rsid w:val="002D567A"/>
    <w:rsid w:val="002D56BA"/>
    <w:rsid w:val="002D5843"/>
    <w:rsid w:val="002D58A6"/>
    <w:rsid w:val="002D5CB0"/>
    <w:rsid w:val="002D6345"/>
    <w:rsid w:val="002D65D9"/>
    <w:rsid w:val="002D67E0"/>
    <w:rsid w:val="002D6C64"/>
    <w:rsid w:val="002D6E0B"/>
    <w:rsid w:val="002D6F29"/>
    <w:rsid w:val="002D6F97"/>
    <w:rsid w:val="002D70CA"/>
    <w:rsid w:val="002D715A"/>
    <w:rsid w:val="002D729D"/>
    <w:rsid w:val="002D740E"/>
    <w:rsid w:val="002D7617"/>
    <w:rsid w:val="002D7898"/>
    <w:rsid w:val="002D78D3"/>
    <w:rsid w:val="002D7D2F"/>
    <w:rsid w:val="002E015D"/>
    <w:rsid w:val="002E022F"/>
    <w:rsid w:val="002E050B"/>
    <w:rsid w:val="002E077F"/>
    <w:rsid w:val="002E0C69"/>
    <w:rsid w:val="002E0F95"/>
    <w:rsid w:val="002E0FF8"/>
    <w:rsid w:val="002E103A"/>
    <w:rsid w:val="002E14D1"/>
    <w:rsid w:val="002E1683"/>
    <w:rsid w:val="002E18EF"/>
    <w:rsid w:val="002E1913"/>
    <w:rsid w:val="002E1C2C"/>
    <w:rsid w:val="002E1F9D"/>
    <w:rsid w:val="002E231D"/>
    <w:rsid w:val="002E2AE9"/>
    <w:rsid w:val="002E2B9B"/>
    <w:rsid w:val="002E2EC3"/>
    <w:rsid w:val="002E2F63"/>
    <w:rsid w:val="002E300F"/>
    <w:rsid w:val="002E3098"/>
    <w:rsid w:val="002E30C9"/>
    <w:rsid w:val="002E3579"/>
    <w:rsid w:val="002E3635"/>
    <w:rsid w:val="002E37DD"/>
    <w:rsid w:val="002E3913"/>
    <w:rsid w:val="002E3DBA"/>
    <w:rsid w:val="002E3E12"/>
    <w:rsid w:val="002E3E7F"/>
    <w:rsid w:val="002E3FFA"/>
    <w:rsid w:val="002E40D6"/>
    <w:rsid w:val="002E40DA"/>
    <w:rsid w:val="002E41EA"/>
    <w:rsid w:val="002E4360"/>
    <w:rsid w:val="002E466B"/>
    <w:rsid w:val="002E49B7"/>
    <w:rsid w:val="002E4AE3"/>
    <w:rsid w:val="002E4AFF"/>
    <w:rsid w:val="002E4B99"/>
    <w:rsid w:val="002E4CD5"/>
    <w:rsid w:val="002E4CFA"/>
    <w:rsid w:val="002E4FAD"/>
    <w:rsid w:val="002E505E"/>
    <w:rsid w:val="002E50A1"/>
    <w:rsid w:val="002E520B"/>
    <w:rsid w:val="002E5437"/>
    <w:rsid w:val="002E57F4"/>
    <w:rsid w:val="002E5891"/>
    <w:rsid w:val="002E5911"/>
    <w:rsid w:val="002E5A44"/>
    <w:rsid w:val="002E5ADB"/>
    <w:rsid w:val="002E5CF7"/>
    <w:rsid w:val="002E62C6"/>
    <w:rsid w:val="002E62CA"/>
    <w:rsid w:val="002E647B"/>
    <w:rsid w:val="002E68F5"/>
    <w:rsid w:val="002E6A1F"/>
    <w:rsid w:val="002E6A3B"/>
    <w:rsid w:val="002E6ADB"/>
    <w:rsid w:val="002E6CFF"/>
    <w:rsid w:val="002E6F58"/>
    <w:rsid w:val="002E702E"/>
    <w:rsid w:val="002E711B"/>
    <w:rsid w:val="002E7597"/>
    <w:rsid w:val="002E7665"/>
    <w:rsid w:val="002E7735"/>
    <w:rsid w:val="002E77C3"/>
    <w:rsid w:val="002E7816"/>
    <w:rsid w:val="002E79E6"/>
    <w:rsid w:val="002E7B42"/>
    <w:rsid w:val="002E7C65"/>
    <w:rsid w:val="002E7D27"/>
    <w:rsid w:val="002E7D69"/>
    <w:rsid w:val="002F0031"/>
    <w:rsid w:val="002F00FB"/>
    <w:rsid w:val="002F03A3"/>
    <w:rsid w:val="002F05B4"/>
    <w:rsid w:val="002F06C8"/>
    <w:rsid w:val="002F0C04"/>
    <w:rsid w:val="002F0D36"/>
    <w:rsid w:val="002F0E4B"/>
    <w:rsid w:val="002F128B"/>
    <w:rsid w:val="002F1854"/>
    <w:rsid w:val="002F188F"/>
    <w:rsid w:val="002F18F5"/>
    <w:rsid w:val="002F1A1E"/>
    <w:rsid w:val="002F1A3D"/>
    <w:rsid w:val="002F1C78"/>
    <w:rsid w:val="002F1C9A"/>
    <w:rsid w:val="002F1D50"/>
    <w:rsid w:val="002F2B23"/>
    <w:rsid w:val="002F2F69"/>
    <w:rsid w:val="002F30B7"/>
    <w:rsid w:val="002F349A"/>
    <w:rsid w:val="002F34CC"/>
    <w:rsid w:val="002F3A9B"/>
    <w:rsid w:val="002F3C09"/>
    <w:rsid w:val="002F3ECE"/>
    <w:rsid w:val="002F3F38"/>
    <w:rsid w:val="002F428E"/>
    <w:rsid w:val="002F4583"/>
    <w:rsid w:val="002F46A1"/>
    <w:rsid w:val="002F4962"/>
    <w:rsid w:val="002F5187"/>
    <w:rsid w:val="002F51BE"/>
    <w:rsid w:val="002F5544"/>
    <w:rsid w:val="002F55F5"/>
    <w:rsid w:val="002F56D2"/>
    <w:rsid w:val="002F5CD8"/>
    <w:rsid w:val="002F5DF3"/>
    <w:rsid w:val="002F5E0B"/>
    <w:rsid w:val="002F5ED5"/>
    <w:rsid w:val="002F5F2D"/>
    <w:rsid w:val="002F60EC"/>
    <w:rsid w:val="002F629D"/>
    <w:rsid w:val="002F6B70"/>
    <w:rsid w:val="002F6DDB"/>
    <w:rsid w:val="002F6F09"/>
    <w:rsid w:val="002F6F44"/>
    <w:rsid w:val="002F718A"/>
    <w:rsid w:val="002F721D"/>
    <w:rsid w:val="002F72CD"/>
    <w:rsid w:val="002F770B"/>
    <w:rsid w:val="002F7794"/>
    <w:rsid w:val="002F7973"/>
    <w:rsid w:val="002F7A17"/>
    <w:rsid w:val="002F7C7E"/>
    <w:rsid w:val="002F7E94"/>
    <w:rsid w:val="002F7F1B"/>
    <w:rsid w:val="00300014"/>
    <w:rsid w:val="0030085D"/>
    <w:rsid w:val="00300D70"/>
    <w:rsid w:val="00300EB5"/>
    <w:rsid w:val="00300EFD"/>
    <w:rsid w:val="003010A9"/>
    <w:rsid w:val="00301172"/>
    <w:rsid w:val="00301441"/>
    <w:rsid w:val="00301568"/>
    <w:rsid w:val="003015A0"/>
    <w:rsid w:val="00301917"/>
    <w:rsid w:val="00301A9A"/>
    <w:rsid w:val="00301CC2"/>
    <w:rsid w:val="00302736"/>
    <w:rsid w:val="00302988"/>
    <w:rsid w:val="00302B50"/>
    <w:rsid w:val="0030320E"/>
    <w:rsid w:val="00303502"/>
    <w:rsid w:val="00303A07"/>
    <w:rsid w:val="00304069"/>
    <w:rsid w:val="00304223"/>
    <w:rsid w:val="0030453F"/>
    <w:rsid w:val="00304594"/>
    <w:rsid w:val="003045AE"/>
    <w:rsid w:val="0030467B"/>
    <w:rsid w:val="00304A5B"/>
    <w:rsid w:val="00304AEE"/>
    <w:rsid w:val="00304BD6"/>
    <w:rsid w:val="00304C14"/>
    <w:rsid w:val="0030511E"/>
    <w:rsid w:val="003052CB"/>
    <w:rsid w:val="00305CB5"/>
    <w:rsid w:val="00305D1F"/>
    <w:rsid w:val="00305E61"/>
    <w:rsid w:val="00305FE6"/>
    <w:rsid w:val="003061A4"/>
    <w:rsid w:val="00306311"/>
    <w:rsid w:val="0030646B"/>
    <w:rsid w:val="0030650E"/>
    <w:rsid w:val="003065F5"/>
    <w:rsid w:val="0030693A"/>
    <w:rsid w:val="00306B9B"/>
    <w:rsid w:val="00306BBF"/>
    <w:rsid w:val="00306C5B"/>
    <w:rsid w:val="00306F7A"/>
    <w:rsid w:val="00307159"/>
    <w:rsid w:val="00307219"/>
    <w:rsid w:val="00307A26"/>
    <w:rsid w:val="00307BAC"/>
    <w:rsid w:val="00307D76"/>
    <w:rsid w:val="00307F83"/>
    <w:rsid w:val="0031032D"/>
    <w:rsid w:val="0031043B"/>
    <w:rsid w:val="0031079B"/>
    <w:rsid w:val="0031098C"/>
    <w:rsid w:val="00310B37"/>
    <w:rsid w:val="00310C41"/>
    <w:rsid w:val="00311031"/>
    <w:rsid w:val="003113AD"/>
    <w:rsid w:val="0031143A"/>
    <w:rsid w:val="0031157F"/>
    <w:rsid w:val="00311F49"/>
    <w:rsid w:val="0031220B"/>
    <w:rsid w:val="003122C5"/>
    <w:rsid w:val="00312595"/>
    <w:rsid w:val="003128C3"/>
    <w:rsid w:val="00312A96"/>
    <w:rsid w:val="00312C49"/>
    <w:rsid w:val="00312FBC"/>
    <w:rsid w:val="0031305A"/>
    <w:rsid w:val="003130AF"/>
    <w:rsid w:val="003130E9"/>
    <w:rsid w:val="0031322E"/>
    <w:rsid w:val="0031343D"/>
    <w:rsid w:val="00313441"/>
    <w:rsid w:val="00313690"/>
    <w:rsid w:val="003136A1"/>
    <w:rsid w:val="00313835"/>
    <w:rsid w:val="00313949"/>
    <w:rsid w:val="00313C46"/>
    <w:rsid w:val="00313F7A"/>
    <w:rsid w:val="00314073"/>
    <w:rsid w:val="0031429B"/>
    <w:rsid w:val="00314358"/>
    <w:rsid w:val="0031468A"/>
    <w:rsid w:val="00314A03"/>
    <w:rsid w:val="00314CE7"/>
    <w:rsid w:val="003151E4"/>
    <w:rsid w:val="003152DC"/>
    <w:rsid w:val="00315A0A"/>
    <w:rsid w:val="00315E6A"/>
    <w:rsid w:val="00315EFE"/>
    <w:rsid w:val="00315F6A"/>
    <w:rsid w:val="00316419"/>
    <w:rsid w:val="003164D3"/>
    <w:rsid w:val="00316638"/>
    <w:rsid w:val="00316799"/>
    <w:rsid w:val="00316999"/>
    <w:rsid w:val="00316AED"/>
    <w:rsid w:val="00316D29"/>
    <w:rsid w:val="00316EC8"/>
    <w:rsid w:val="00317150"/>
    <w:rsid w:val="00317201"/>
    <w:rsid w:val="003172E5"/>
    <w:rsid w:val="00317850"/>
    <w:rsid w:val="00317E64"/>
    <w:rsid w:val="00317EA1"/>
    <w:rsid w:val="0032004F"/>
    <w:rsid w:val="00320124"/>
    <w:rsid w:val="00320138"/>
    <w:rsid w:val="003205EA"/>
    <w:rsid w:val="003206E3"/>
    <w:rsid w:val="003208DA"/>
    <w:rsid w:val="00320C9E"/>
    <w:rsid w:val="00320D4B"/>
    <w:rsid w:val="00320E06"/>
    <w:rsid w:val="003214F3"/>
    <w:rsid w:val="0032199B"/>
    <w:rsid w:val="00321EA4"/>
    <w:rsid w:val="003220AE"/>
    <w:rsid w:val="003220EE"/>
    <w:rsid w:val="00322146"/>
    <w:rsid w:val="00322167"/>
    <w:rsid w:val="003225D9"/>
    <w:rsid w:val="00322CC8"/>
    <w:rsid w:val="00322D10"/>
    <w:rsid w:val="00323025"/>
    <w:rsid w:val="003230EA"/>
    <w:rsid w:val="003234E4"/>
    <w:rsid w:val="00323516"/>
    <w:rsid w:val="0032360C"/>
    <w:rsid w:val="00323B20"/>
    <w:rsid w:val="00323C20"/>
    <w:rsid w:val="00323C72"/>
    <w:rsid w:val="00323DB8"/>
    <w:rsid w:val="0032456B"/>
    <w:rsid w:val="0032458A"/>
    <w:rsid w:val="00324D8C"/>
    <w:rsid w:val="00324FC5"/>
    <w:rsid w:val="003250C4"/>
    <w:rsid w:val="00325225"/>
    <w:rsid w:val="0032531A"/>
    <w:rsid w:val="00325709"/>
    <w:rsid w:val="003257AE"/>
    <w:rsid w:val="003257C2"/>
    <w:rsid w:val="00325A25"/>
    <w:rsid w:val="00325D17"/>
    <w:rsid w:val="00325EAC"/>
    <w:rsid w:val="00325F1B"/>
    <w:rsid w:val="00325FB1"/>
    <w:rsid w:val="00325FED"/>
    <w:rsid w:val="0032633B"/>
    <w:rsid w:val="00326375"/>
    <w:rsid w:val="00326398"/>
    <w:rsid w:val="003264C3"/>
    <w:rsid w:val="00326550"/>
    <w:rsid w:val="00326589"/>
    <w:rsid w:val="00326798"/>
    <w:rsid w:val="00326869"/>
    <w:rsid w:val="0032687A"/>
    <w:rsid w:val="0032692A"/>
    <w:rsid w:val="003269D2"/>
    <w:rsid w:val="00326D09"/>
    <w:rsid w:val="003272F1"/>
    <w:rsid w:val="003274AE"/>
    <w:rsid w:val="003277FF"/>
    <w:rsid w:val="003278F8"/>
    <w:rsid w:val="00327B3E"/>
    <w:rsid w:val="00327B55"/>
    <w:rsid w:val="00327CCA"/>
    <w:rsid w:val="00327D43"/>
    <w:rsid w:val="00330060"/>
    <w:rsid w:val="003303D9"/>
    <w:rsid w:val="00330528"/>
    <w:rsid w:val="00330872"/>
    <w:rsid w:val="003308A5"/>
    <w:rsid w:val="00330919"/>
    <w:rsid w:val="00330C41"/>
    <w:rsid w:val="00330E30"/>
    <w:rsid w:val="00331025"/>
    <w:rsid w:val="0033104A"/>
    <w:rsid w:val="00331496"/>
    <w:rsid w:val="0033167B"/>
    <w:rsid w:val="0033173E"/>
    <w:rsid w:val="0033192B"/>
    <w:rsid w:val="003319E9"/>
    <w:rsid w:val="00331D28"/>
    <w:rsid w:val="00331E7E"/>
    <w:rsid w:val="0033239A"/>
    <w:rsid w:val="00332680"/>
    <w:rsid w:val="003327BB"/>
    <w:rsid w:val="00332ABD"/>
    <w:rsid w:val="00332E73"/>
    <w:rsid w:val="00332EA0"/>
    <w:rsid w:val="00333071"/>
    <w:rsid w:val="003332A5"/>
    <w:rsid w:val="00333765"/>
    <w:rsid w:val="003338B6"/>
    <w:rsid w:val="00333B8B"/>
    <w:rsid w:val="00333C1E"/>
    <w:rsid w:val="0033420A"/>
    <w:rsid w:val="00334749"/>
    <w:rsid w:val="003348F7"/>
    <w:rsid w:val="00335014"/>
    <w:rsid w:val="0033557B"/>
    <w:rsid w:val="00335730"/>
    <w:rsid w:val="00335B0E"/>
    <w:rsid w:val="00335D23"/>
    <w:rsid w:val="00335DF4"/>
    <w:rsid w:val="003362F7"/>
    <w:rsid w:val="00336529"/>
    <w:rsid w:val="003367C6"/>
    <w:rsid w:val="00336823"/>
    <w:rsid w:val="00336AE7"/>
    <w:rsid w:val="00336B12"/>
    <w:rsid w:val="00336B36"/>
    <w:rsid w:val="00336DD3"/>
    <w:rsid w:val="00336F80"/>
    <w:rsid w:val="00337456"/>
    <w:rsid w:val="0033747A"/>
    <w:rsid w:val="00337578"/>
    <w:rsid w:val="003375EF"/>
    <w:rsid w:val="0033766B"/>
    <w:rsid w:val="00337804"/>
    <w:rsid w:val="00337C9A"/>
    <w:rsid w:val="00337D66"/>
    <w:rsid w:val="00337DC5"/>
    <w:rsid w:val="003402ED"/>
    <w:rsid w:val="0034044B"/>
    <w:rsid w:val="003406E8"/>
    <w:rsid w:val="00340A71"/>
    <w:rsid w:val="00340B6F"/>
    <w:rsid w:val="00340D91"/>
    <w:rsid w:val="0034173C"/>
    <w:rsid w:val="00341891"/>
    <w:rsid w:val="003418E7"/>
    <w:rsid w:val="003419E5"/>
    <w:rsid w:val="00341A9D"/>
    <w:rsid w:val="00341CB2"/>
    <w:rsid w:val="00341DA7"/>
    <w:rsid w:val="00341FD3"/>
    <w:rsid w:val="0034250A"/>
    <w:rsid w:val="0034279D"/>
    <w:rsid w:val="003427CC"/>
    <w:rsid w:val="003428E8"/>
    <w:rsid w:val="00342B07"/>
    <w:rsid w:val="00342B57"/>
    <w:rsid w:val="00342CBF"/>
    <w:rsid w:val="00342E6B"/>
    <w:rsid w:val="00342F91"/>
    <w:rsid w:val="00343276"/>
    <w:rsid w:val="0034382B"/>
    <w:rsid w:val="00343935"/>
    <w:rsid w:val="0034397B"/>
    <w:rsid w:val="003439C8"/>
    <w:rsid w:val="00343A20"/>
    <w:rsid w:val="00343BD3"/>
    <w:rsid w:val="00343E7F"/>
    <w:rsid w:val="00344071"/>
    <w:rsid w:val="00344165"/>
    <w:rsid w:val="003446B7"/>
    <w:rsid w:val="003449FF"/>
    <w:rsid w:val="00344A90"/>
    <w:rsid w:val="00344AC7"/>
    <w:rsid w:val="00344E99"/>
    <w:rsid w:val="003451CB"/>
    <w:rsid w:val="003451D2"/>
    <w:rsid w:val="003452B5"/>
    <w:rsid w:val="00345390"/>
    <w:rsid w:val="003454B5"/>
    <w:rsid w:val="003456C8"/>
    <w:rsid w:val="00345834"/>
    <w:rsid w:val="003462A9"/>
    <w:rsid w:val="0034634A"/>
    <w:rsid w:val="003463A8"/>
    <w:rsid w:val="00346681"/>
    <w:rsid w:val="003469B8"/>
    <w:rsid w:val="00346B99"/>
    <w:rsid w:val="00346E29"/>
    <w:rsid w:val="00346E77"/>
    <w:rsid w:val="00347588"/>
    <w:rsid w:val="00347850"/>
    <w:rsid w:val="00347B7D"/>
    <w:rsid w:val="00347C7C"/>
    <w:rsid w:val="00347D4E"/>
    <w:rsid w:val="00347D8C"/>
    <w:rsid w:val="00350030"/>
    <w:rsid w:val="0035036D"/>
    <w:rsid w:val="0035066D"/>
    <w:rsid w:val="00350745"/>
    <w:rsid w:val="00350787"/>
    <w:rsid w:val="00350900"/>
    <w:rsid w:val="00350DC3"/>
    <w:rsid w:val="00351051"/>
    <w:rsid w:val="0035152B"/>
    <w:rsid w:val="00351557"/>
    <w:rsid w:val="00351AB9"/>
    <w:rsid w:val="00351D6B"/>
    <w:rsid w:val="0035241C"/>
    <w:rsid w:val="0035263D"/>
    <w:rsid w:val="00352790"/>
    <w:rsid w:val="003527C9"/>
    <w:rsid w:val="00352C97"/>
    <w:rsid w:val="00352DB3"/>
    <w:rsid w:val="00353343"/>
    <w:rsid w:val="0035354E"/>
    <w:rsid w:val="003537AB"/>
    <w:rsid w:val="0035394C"/>
    <w:rsid w:val="00353C28"/>
    <w:rsid w:val="00353E8F"/>
    <w:rsid w:val="00354052"/>
    <w:rsid w:val="003543AC"/>
    <w:rsid w:val="003544A9"/>
    <w:rsid w:val="00354699"/>
    <w:rsid w:val="00354788"/>
    <w:rsid w:val="00354903"/>
    <w:rsid w:val="00354BE3"/>
    <w:rsid w:val="00354E97"/>
    <w:rsid w:val="00354F94"/>
    <w:rsid w:val="00355162"/>
    <w:rsid w:val="003553C6"/>
    <w:rsid w:val="003555BA"/>
    <w:rsid w:val="00355760"/>
    <w:rsid w:val="00355899"/>
    <w:rsid w:val="003558F9"/>
    <w:rsid w:val="00355A31"/>
    <w:rsid w:val="00355BB1"/>
    <w:rsid w:val="00355BDA"/>
    <w:rsid w:val="00355FD7"/>
    <w:rsid w:val="003561BE"/>
    <w:rsid w:val="003564F0"/>
    <w:rsid w:val="00356577"/>
    <w:rsid w:val="00356852"/>
    <w:rsid w:val="0035687D"/>
    <w:rsid w:val="00356B1A"/>
    <w:rsid w:val="00356CF4"/>
    <w:rsid w:val="00356DDF"/>
    <w:rsid w:val="00356DFC"/>
    <w:rsid w:val="0035738D"/>
    <w:rsid w:val="003576E9"/>
    <w:rsid w:val="00357909"/>
    <w:rsid w:val="00357B72"/>
    <w:rsid w:val="00357BE5"/>
    <w:rsid w:val="00357D5D"/>
    <w:rsid w:val="00357EFD"/>
    <w:rsid w:val="00360166"/>
    <w:rsid w:val="00360397"/>
    <w:rsid w:val="003603B1"/>
    <w:rsid w:val="003603F2"/>
    <w:rsid w:val="00360491"/>
    <w:rsid w:val="003604CC"/>
    <w:rsid w:val="00360AE3"/>
    <w:rsid w:val="00360E6F"/>
    <w:rsid w:val="0036103B"/>
    <w:rsid w:val="0036110E"/>
    <w:rsid w:val="00361185"/>
    <w:rsid w:val="00361279"/>
    <w:rsid w:val="0036137B"/>
    <w:rsid w:val="003613B8"/>
    <w:rsid w:val="00361E22"/>
    <w:rsid w:val="00361E8F"/>
    <w:rsid w:val="003622BB"/>
    <w:rsid w:val="003624EE"/>
    <w:rsid w:val="0036254D"/>
    <w:rsid w:val="00362771"/>
    <w:rsid w:val="003628DE"/>
    <w:rsid w:val="00362A83"/>
    <w:rsid w:val="00362B8A"/>
    <w:rsid w:val="00362DE8"/>
    <w:rsid w:val="00363504"/>
    <w:rsid w:val="00363547"/>
    <w:rsid w:val="0036382D"/>
    <w:rsid w:val="00363D18"/>
    <w:rsid w:val="00363D28"/>
    <w:rsid w:val="00364256"/>
    <w:rsid w:val="00364555"/>
    <w:rsid w:val="003646A5"/>
    <w:rsid w:val="00364752"/>
    <w:rsid w:val="00364B01"/>
    <w:rsid w:val="00364F78"/>
    <w:rsid w:val="00365265"/>
    <w:rsid w:val="003655EA"/>
    <w:rsid w:val="00365747"/>
    <w:rsid w:val="003657A1"/>
    <w:rsid w:val="00365A41"/>
    <w:rsid w:val="00365DF0"/>
    <w:rsid w:val="00366246"/>
    <w:rsid w:val="00366364"/>
    <w:rsid w:val="003665A9"/>
    <w:rsid w:val="003667CD"/>
    <w:rsid w:val="00366D85"/>
    <w:rsid w:val="00366E75"/>
    <w:rsid w:val="00366FA7"/>
    <w:rsid w:val="00367176"/>
    <w:rsid w:val="003674EA"/>
    <w:rsid w:val="0036768B"/>
    <w:rsid w:val="0036770E"/>
    <w:rsid w:val="00367D5A"/>
    <w:rsid w:val="00367DE0"/>
    <w:rsid w:val="00370375"/>
    <w:rsid w:val="0037037F"/>
    <w:rsid w:val="0037070D"/>
    <w:rsid w:val="00370882"/>
    <w:rsid w:val="0037089B"/>
    <w:rsid w:val="00370BB9"/>
    <w:rsid w:val="00370CFE"/>
    <w:rsid w:val="00370D5D"/>
    <w:rsid w:val="0037123E"/>
    <w:rsid w:val="00371396"/>
    <w:rsid w:val="003713E7"/>
    <w:rsid w:val="003717D9"/>
    <w:rsid w:val="00371A82"/>
    <w:rsid w:val="00371CF4"/>
    <w:rsid w:val="00371D01"/>
    <w:rsid w:val="00371F62"/>
    <w:rsid w:val="00372146"/>
    <w:rsid w:val="003723C5"/>
    <w:rsid w:val="00372453"/>
    <w:rsid w:val="00372749"/>
    <w:rsid w:val="00372A7C"/>
    <w:rsid w:val="00372B7D"/>
    <w:rsid w:val="00372D97"/>
    <w:rsid w:val="00372E15"/>
    <w:rsid w:val="00372F68"/>
    <w:rsid w:val="003730E3"/>
    <w:rsid w:val="00373381"/>
    <w:rsid w:val="0037343E"/>
    <w:rsid w:val="003734D6"/>
    <w:rsid w:val="00373558"/>
    <w:rsid w:val="0037385E"/>
    <w:rsid w:val="0037388D"/>
    <w:rsid w:val="0037398E"/>
    <w:rsid w:val="00373AA0"/>
    <w:rsid w:val="00373CDF"/>
    <w:rsid w:val="00373EB6"/>
    <w:rsid w:val="00373FEF"/>
    <w:rsid w:val="0037405F"/>
    <w:rsid w:val="0037411B"/>
    <w:rsid w:val="00374146"/>
    <w:rsid w:val="00374249"/>
    <w:rsid w:val="003744AB"/>
    <w:rsid w:val="0037456A"/>
    <w:rsid w:val="0037474F"/>
    <w:rsid w:val="0037484B"/>
    <w:rsid w:val="003748BB"/>
    <w:rsid w:val="00374B65"/>
    <w:rsid w:val="00374B79"/>
    <w:rsid w:val="00374BD3"/>
    <w:rsid w:val="00374EF7"/>
    <w:rsid w:val="00374F6E"/>
    <w:rsid w:val="00374FC2"/>
    <w:rsid w:val="00375151"/>
    <w:rsid w:val="0037528C"/>
    <w:rsid w:val="003752BE"/>
    <w:rsid w:val="00375395"/>
    <w:rsid w:val="00375405"/>
    <w:rsid w:val="00375479"/>
    <w:rsid w:val="00375696"/>
    <w:rsid w:val="00375816"/>
    <w:rsid w:val="003759B6"/>
    <w:rsid w:val="00375BDD"/>
    <w:rsid w:val="00375C04"/>
    <w:rsid w:val="00375C89"/>
    <w:rsid w:val="00376435"/>
    <w:rsid w:val="003768E9"/>
    <w:rsid w:val="00377008"/>
    <w:rsid w:val="003770D6"/>
    <w:rsid w:val="00377258"/>
    <w:rsid w:val="00377322"/>
    <w:rsid w:val="003774B0"/>
    <w:rsid w:val="00377525"/>
    <w:rsid w:val="00377734"/>
    <w:rsid w:val="00377AE7"/>
    <w:rsid w:val="003801E5"/>
    <w:rsid w:val="00380332"/>
    <w:rsid w:val="00380591"/>
    <w:rsid w:val="003806A3"/>
    <w:rsid w:val="0038090B"/>
    <w:rsid w:val="00380AE5"/>
    <w:rsid w:val="00380C71"/>
    <w:rsid w:val="00380F37"/>
    <w:rsid w:val="00380F6D"/>
    <w:rsid w:val="00380F71"/>
    <w:rsid w:val="0038107C"/>
    <w:rsid w:val="003810D4"/>
    <w:rsid w:val="00381189"/>
    <w:rsid w:val="003812F0"/>
    <w:rsid w:val="00381425"/>
    <w:rsid w:val="00381560"/>
    <w:rsid w:val="003815A4"/>
    <w:rsid w:val="00381603"/>
    <w:rsid w:val="00381A90"/>
    <w:rsid w:val="00381C30"/>
    <w:rsid w:val="00381C4A"/>
    <w:rsid w:val="00381D89"/>
    <w:rsid w:val="00381F96"/>
    <w:rsid w:val="00382067"/>
    <w:rsid w:val="003820A8"/>
    <w:rsid w:val="00382574"/>
    <w:rsid w:val="003826AC"/>
    <w:rsid w:val="00382BC8"/>
    <w:rsid w:val="00382DDA"/>
    <w:rsid w:val="00383701"/>
    <w:rsid w:val="00383912"/>
    <w:rsid w:val="00383D43"/>
    <w:rsid w:val="003841A5"/>
    <w:rsid w:val="00384245"/>
    <w:rsid w:val="003843CE"/>
    <w:rsid w:val="003847D1"/>
    <w:rsid w:val="003848DF"/>
    <w:rsid w:val="00384AF6"/>
    <w:rsid w:val="00384CD4"/>
    <w:rsid w:val="00384D95"/>
    <w:rsid w:val="00384DE1"/>
    <w:rsid w:val="00385047"/>
    <w:rsid w:val="00385093"/>
    <w:rsid w:val="0038532D"/>
    <w:rsid w:val="00385412"/>
    <w:rsid w:val="003854C8"/>
    <w:rsid w:val="00385751"/>
    <w:rsid w:val="00385AB4"/>
    <w:rsid w:val="00385AC8"/>
    <w:rsid w:val="00385E48"/>
    <w:rsid w:val="00385ED9"/>
    <w:rsid w:val="00385F33"/>
    <w:rsid w:val="00385F8D"/>
    <w:rsid w:val="003860E4"/>
    <w:rsid w:val="0038676F"/>
    <w:rsid w:val="00386830"/>
    <w:rsid w:val="00386C46"/>
    <w:rsid w:val="00386C4B"/>
    <w:rsid w:val="00386D4F"/>
    <w:rsid w:val="00386E04"/>
    <w:rsid w:val="00386E78"/>
    <w:rsid w:val="00387CD6"/>
    <w:rsid w:val="00387F4B"/>
    <w:rsid w:val="00387F98"/>
    <w:rsid w:val="00390284"/>
    <w:rsid w:val="003907C6"/>
    <w:rsid w:val="0039089E"/>
    <w:rsid w:val="003908EC"/>
    <w:rsid w:val="00391540"/>
    <w:rsid w:val="0039157E"/>
    <w:rsid w:val="00391659"/>
    <w:rsid w:val="0039184D"/>
    <w:rsid w:val="00391AAF"/>
    <w:rsid w:val="00391BE8"/>
    <w:rsid w:val="00391E12"/>
    <w:rsid w:val="00391F44"/>
    <w:rsid w:val="00392080"/>
    <w:rsid w:val="003922B8"/>
    <w:rsid w:val="0039262E"/>
    <w:rsid w:val="003928C0"/>
    <w:rsid w:val="00392D04"/>
    <w:rsid w:val="0039305B"/>
    <w:rsid w:val="00393110"/>
    <w:rsid w:val="003934EA"/>
    <w:rsid w:val="003935F0"/>
    <w:rsid w:val="003939A7"/>
    <w:rsid w:val="00393A13"/>
    <w:rsid w:val="00393B5A"/>
    <w:rsid w:val="00393BD0"/>
    <w:rsid w:val="00393CD1"/>
    <w:rsid w:val="00393CF0"/>
    <w:rsid w:val="00393F8F"/>
    <w:rsid w:val="003940C7"/>
    <w:rsid w:val="003942D2"/>
    <w:rsid w:val="003948A2"/>
    <w:rsid w:val="00394937"/>
    <w:rsid w:val="00394994"/>
    <w:rsid w:val="00394F6C"/>
    <w:rsid w:val="0039512D"/>
    <w:rsid w:val="003951F7"/>
    <w:rsid w:val="00395484"/>
    <w:rsid w:val="0039565B"/>
    <w:rsid w:val="00395760"/>
    <w:rsid w:val="003957E6"/>
    <w:rsid w:val="00395907"/>
    <w:rsid w:val="00395C4B"/>
    <w:rsid w:val="00395D2F"/>
    <w:rsid w:val="00395E1D"/>
    <w:rsid w:val="00395F60"/>
    <w:rsid w:val="003965D3"/>
    <w:rsid w:val="0039660D"/>
    <w:rsid w:val="00396A7B"/>
    <w:rsid w:val="00396EF1"/>
    <w:rsid w:val="00397111"/>
    <w:rsid w:val="00397268"/>
    <w:rsid w:val="00397325"/>
    <w:rsid w:val="003973E8"/>
    <w:rsid w:val="003974E7"/>
    <w:rsid w:val="003974F5"/>
    <w:rsid w:val="0039779B"/>
    <w:rsid w:val="003978D4"/>
    <w:rsid w:val="0039798B"/>
    <w:rsid w:val="003979CB"/>
    <w:rsid w:val="003979DC"/>
    <w:rsid w:val="00397F60"/>
    <w:rsid w:val="00397FAF"/>
    <w:rsid w:val="003A0418"/>
    <w:rsid w:val="003A0596"/>
    <w:rsid w:val="003A0640"/>
    <w:rsid w:val="003A0785"/>
    <w:rsid w:val="003A0995"/>
    <w:rsid w:val="003A0997"/>
    <w:rsid w:val="003A0A66"/>
    <w:rsid w:val="003A0EAA"/>
    <w:rsid w:val="003A0F09"/>
    <w:rsid w:val="003A0F72"/>
    <w:rsid w:val="003A0FED"/>
    <w:rsid w:val="003A1083"/>
    <w:rsid w:val="003A1765"/>
    <w:rsid w:val="003A1A81"/>
    <w:rsid w:val="003A1C91"/>
    <w:rsid w:val="003A1C94"/>
    <w:rsid w:val="003A23E4"/>
    <w:rsid w:val="003A2401"/>
    <w:rsid w:val="003A24AA"/>
    <w:rsid w:val="003A25C4"/>
    <w:rsid w:val="003A25F0"/>
    <w:rsid w:val="003A27F5"/>
    <w:rsid w:val="003A34E3"/>
    <w:rsid w:val="003A3549"/>
    <w:rsid w:val="003A3691"/>
    <w:rsid w:val="003A36B5"/>
    <w:rsid w:val="003A38B8"/>
    <w:rsid w:val="003A442F"/>
    <w:rsid w:val="003A455A"/>
    <w:rsid w:val="003A45D1"/>
    <w:rsid w:val="003A492A"/>
    <w:rsid w:val="003A4A5B"/>
    <w:rsid w:val="003A4B77"/>
    <w:rsid w:val="003A4EE2"/>
    <w:rsid w:val="003A4F10"/>
    <w:rsid w:val="003A50D5"/>
    <w:rsid w:val="003A5231"/>
    <w:rsid w:val="003A59DD"/>
    <w:rsid w:val="003A5A7C"/>
    <w:rsid w:val="003A5D68"/>
    <w:rsid w:val="003A6199"/>
    <w:rsid w:val="003A63CB"/>
    <w:rsid w:val="003A651D"/>
    <w:rsid w:val="003A6627"/>
    <w:rsid w:val="003A66AA"/>
    <w:rsid w:val="003A6786"/>
    <w:rsid w:val="003A69F3"/>
    <w:rsid w:val="003A6C32"/>
    <w:rsid w:val="003A6C7D"/>
    <w:rsid w:val="003A7121"/>
    <w:rsid w:val="003A737D"/>
    <w:rsid w:val="003A7938"/>
    <w:rsid w:val="003A79C8"/>
    <w:rsid w:val="003A7A9E"/>
    <w:rsid w:val="003A7C72"/>
    <w:rsid w:val="003A7CF1"/>
    <w:rsid w:val="003A7D61"/>
    <w:rsid w:val="003B01BF"/>
    <w:rsid w:val="003B0383"/>
    <w:rsid w:val="003B042B"/>
    <w:rsid w:val="003B06CF"/>
    <w:rsid w:val="003B0865"/>
    <w:rsid w:val="003B08A8"/>
    <w:rsid w:val="003B0946"/>
    <w:rsid w:val="003B0BAD"/>
    <w:rsid w:val="003B0F50"/>
    <w:rsid w:val="003B1077"/>
    <w:rsid w:val="003B110E"/>
    <w:rsid w:val="003B11EA"/>
    <w:rsid w:val="003B1203"/>
    <w:rsid w:val="003B139B"/>
    <w:rsid w:val="003B163A"/>
    <w:rsid w:val="003B1663"/>
    <w:rsid w:val="003B17E7"/>
    <w:rsid w:val="003B1F53"/>
    <w:rsid w:val="003B2328"/>
    <w:rsid w:val="003B25D7"/>
    <w:rsid w:val="003B25F6"/>
    <w:rsid w:val="003B2907"/>
    <w:rsid w:val="003B2A3F"/>
    <w:rsid w:val="003B2F6E"/>
    <w:rsid w:val="003B2FC9"/>
    <w:rsid w:val="003B30C5"/>
    <w:rsid w:val="003B374F"/>
    <w:rsid w:val="003B4078"/>
    <w:rsid w:val="003B419F"/>
    <w:rsid w:val="003B41BE"/>
    <w:rsid w:val="003B45F6"/>
    <w:rsid w:val="003B4793"/>
    <w:rsid w:val="003B482B"/>
    <w:rsid w:val="003B4871"/>
    <w:rsid w:val="003B4963"/>
    <w:rsid w:val="003B4B04"/>
    <w:rsid w:val="003B51B8"/>
    <w:rsid w:val="003B54D0"/>
    <w:rsid w:val="003B5735"/>
    <w:rsid w:val="003B57A5"/>
    <w:rsid w:val="003B59A7"/>
    <w:rsid w:val="003B5A8D"/>
    <w:rsid w:val="003B6201"/>
    <w:rsid w:val="003B622B"/>
    <w:rsid w:val="003B668E"/>
    <w:rsid w:val="003B6B5F"/>
    <w:rsid w:val="003B6BFB"/>
    <w:rsid w:val="003B6E9A"/>
    <w:rsid w:val="003B6F90"/>
    <w:rsid w:val="003B7186"/>
    <w:rsid w:val="003B73CE"/>
    <w:rsid w:val="003B74E1"/>
    <w:rsid w:val="003B7AAA"/>
    <w:rsid w:val="003B7AC7"/>
    <w:rsid w:val="003B7D62"/>
    <w:rsid w:val="003B7F55"/>
    <w:rsid w:val="003C0239"/>
    <w:rsid w:val="003C02A6"/>
    <w:rsid w:val="003C0744"/>
    <w:rsid w:val="003C0835"/>
    <w:rsid w:val="003C08E3"/>
    <w:rsid w:val="003C0948"/>
    <w:rsid w:val="003C0B8F"/>
    <w:rsid w:val="003C0BFF"/>
    <w:rsid w:val="003C134D"/>
    <w:rsid w:val="003C15F6"/>
    <w:rsid w:val="003C165D"/>
    <w:rsid w:val="003C1766"/>
    <w:rsid w:val="003C1CF2"/>
    <w:rsid w:val="003C1D90"/>
    <w:rsid w:val="003C1EBF"/>
    <w:rsid w:val="003C1F6A"/>
    <w:rsid w:val="003C1F7B"/>
    <w:rsid w:val="003C2002"/>
    <w:rsid w:val="003C20CB"/>
    <w:rsid w:val="003C22C3"/>
    <w:rsid w:val="003C22CD"/>
    <w:rsid w:val="003C2584"/>
    <w:rsid w:val="003C25DA"/>
    <w:rsid w:val="003C26D8"/>
    <w:rsid w:val="003C271F"/>
    <w:rsid w:val="003C27B4"/>
    <w:rsid w:val="003C2980"/>
    <w:rsid w:val="003C2A0A"/>
    <w:rsid w:val="003C2B98"/>
    <w:rsid w:val="003C2E93"/>
    <w:rsid w:val="003C2FE7"/>
    <w:rsid w:val="003C30CF"/>
    <w:rsid w:val="003C314E"/>
    <w:rsid w:val="003C321C"/>
    <w:rsid w:val="003C32B1"/>
    <w:rsid w:val="003C3432"/>
    <w:rsid w:val="003C34DD"/>
    <w:rsid w:val="003C3698"/>
    <w:rsid w:val="003C388E"/>
    <w:rsid w:val="003C3896"/>
    <w:rsid w:val="003C3AC9"/>
    <w:rsid w:val="003C3C4A"/>
    <w:rsid w:val="003C3DAB"/>
    <w:rsid w:val="003C3FC5"/>
    <w:rsid w:val="003C428F"/>
    <w:rsid w:val="003C42C6"/>
    <w:rsid w:val="003C436D"/>
    <w:rsid w:val="003C43B3"/>
    <w:rsid w:val="003C479C"/>
    <w:rsid w:val="003C484E"/>
    <w:rsid w:val="003C49C1"/>
    <w:rsid w:val="003C4A20"/>
    <w:rsid w:val="003C5100"/>
    <w:rsid w:val="003C52C1"/>
    <w:rsid w:val="003C52F0"/>
    <w:rsid w:val="003C532B"/>
    <w:rsid w:val="003C5736"/>
    <w:rsid w:val="003C5752"/>
    <w:rsid w:val="003C5F4C"/>
    <w:rsid w:val="003C603E"/>
    <w:rsid w:val="003C6116"/>
    <w:rsid w:val="003C6429"/>
    <w:rsid w:val="003C6470"/>
    <w:rsid w:val="003C67A5"/>
    <w:rsid w:val="003C67CC"/>
    <w:rsid w:val="003C6F7A"/>
    <w:rsid w:val="003C75EC"/>
    <w:rsid w:val="003C7697"/>
    <w:rsid w:val="003C7B2B"/>
    <w:rsid w:val="003C7B39"/>
    <w:rsid w:val="003C7B64"/>
    <w:rsid w:val="003C7CBC"/>
    <w:rsid w:val="003D0071"/>
    <w:rsid w:val="003D015D"/>
    <w:rsid w:val="003D047C"/>
    <w:rsid w:val="003D062B"/>
    <w:rsid w:val="003D08E0"/>
    <w:rsid w:val="003D0BFC"/>
    <w:rsid w:val="003D0D0B"/>
    <w:rsid w:val="003D0D13"/>
    <w:rsid w:val="003D103F"/>
    <w:rsid w:val="003D116D"/>
    <w:rsid w:val="003D144D"/>
    <w:rsid w:val="003D14BA"/>
    <w:rsid w:val="003D1AAD"/>
    <w:rsid w:val="003D1CC1"/>
    <w:rsid w:val="003D1ECF"/>
    <w:rsid w:val="003D1F79"/>
    <w:rsid w:val="003D1F7B"/>
    <w:rsid w:val="003D1FC1"/>
    <w:rsid w:val="003D2176"/>
    <w:rsid w:val="003D228F"/>
    <w:rsid w:val="003D22E1"/>
    <w:rsid w:val="003D2988"/>
    <w:rsid w:val="003D2D90"/>
    <w:rsid w:val="003D2DE2"/>
    <w:rsid w:val="003D2E40"/>
    <w:rsid w:val="003D3068"/>
    <w:rsid w:val="003D32DD"/>
    <w:rsid w:val="003D388F"/>
    <w:rsid w:val="003D39D7"/>
    <w:rsid w:val="003D3B3B"/>
    <w:rsid w:val="003D3C33"/>
    <w:rsid w:val="003D3DD5"/>
    <w:rsid w:val="003D3F4C"/>
    <w:rsid w:val="003D41AF"/>
    <w:rsid w:val="003D44F9"/>
    <w:rsid w:val="003D48C8"/>
    <w:rsid w:val="003D48D3"/>
    <w:rsid w:val="003D48F2"/>
    <w:rsid w:val="003D5555"/>
    <w:rsid w:val="003D55B1"/>
    <w:rsid w:val="003D56A0"/>
    <w:rsid w:val="003D5BAB"/>
    <w:rsid w:val="003D5FD5"/>
    <w:rsid w:val="003D6015"/>
    <w:rsid w:val="003D604C"/>
    <w:rsid w:val="003D6383"/>
    <w:rsid w:val="003D6447"/>
    <w:rsid w:val="003D691D"/>
    <w:rsid w:val="003D6B63"/>
    <w:rsid w:val="003D6C51"/>
    <w:rsid w:val="003D6D85"/>
    <w:rsid w:val="003D6DBA"/>
    <w:rsid w:val="003D70AD"/>
    <w:rsid w:val="003D715A"/>
    <w:rsid w:val="003D794F"/>
    <w:rsid w:val="003D7B03"/>
    <w:rsid w:val="003D7EAB"/>
    <w:rsid w:val="003E0107"/>
    <w:rsid w:val="003E01A8"/>
    <w:rsid w:val="003E0463"/>
    <w:rsid w:val="003E04B5"/>
    <w:rsid w:val="003E0813"/>
    <w:rsid w:val="003E0AA7"/>
    <w:rsid w:val="003E146C"/>
    <w:rsid w:val="003E147E"/>
    <w:rsid w:val="003E175F"/>
    <w:rsid w:val="003E1804"/>
    <w:rsid w:val="003E1AED"/>
    <w:rsid w:val="003E225E"/>
    <w:rsid w:val="003E2564"/>
    <w:rsid w:val="003E2963"/>
    <w:rsid w:val="003E2D41"/>
    <w:rsid w:val="003E2D53"/>
    <w:rsid w:val="003E2DCA"/>
    <w:rsid w:val="003E345E"/>
    <w:rsid w:val="003E350F"/>
    <w:rsid w:val="003E3915"/>
    <w:rsid w:val="003E3ACD"/>
    <w:rsid w:val="003E3C0E"/>
    <w:rsid w:val="003E40E3"/>
    <w:rsid w:val="003E42CB"/>
    <w:rsid w:val="003E46EA"/>
    <w:rsid w:val="003E5198"/>
    <w:rsid w:val="003E51F5"/>
    <w:rsid w:val="003E5548"/>
    <w:rsid w:val="003E55D6"/>
    <w:rsid w:val="003E5B4A"/>
    <w:rsid w:val="003E5CC7"/>
    <w:rsid w:val="003E5F52"/>
    <w:rsid w:val="003E5FF4"/>
    <w:rsid w:val="003E608E"/>
    <w:rsid w:val="003E615C"/>
    <w:rsid w:val="003E61DA"/>
    <w:rsid w:val="003E626A"/>
    <w:rsid w:val="003E62E3"/>
    <w:rsid w:val="003E6931"/>
    <w:rsid w:val="003E6C6D"/>
    <w:rsid w:val="003E6CE4"/>
    <w:rsid w:val="003E6FB3"/>
    <w:rsid w:val="003E748F"/>
    <w:rsid w:val="003E7616"/>
    <w:rsid w:val="003E777D"/>
    <w:rsid w:val="003E77AC"/>
    <w:rsid w:val="003E7925"/>
    <w:rsid w:val="003E7F55"/>
    <w:rsid w:val="003F00DC"/>
    <w:rsid w:val="003F0678"/>
    <w:rsid w:val="003F06B1"/>
    <w:rsid w:val="003F0D04"/>
    <w:rsid w:val="003F0E4F"/>
    <w:rsid w:val="003F1124"/>
    <w:rsid w:val="003F14FD"/>
    <w:rsid w:val="003F1831"/>
    <w:rsid w:val="003F1D62"/>
    <w:rsid w:val="003F1D9F"/>
    <w:rsid w:val="003F22C1"/>
    <w:rsid w:val="003F2494"/>
    <w:rsid w:val="003F281B"/>
    <w:rsid w:val="003F29C3"/>
    <w:rsid w:val="003F2EC7"/>
    <w:rsid w:val="003F3153"/>
    <w:rsid w:val="003F3586"/>
    <w:rsid w:val="003F399C"/>
    <w:rsid w:val="003F3D43"/>
    <w:rsid w:val="003F3F17"/>
    <w:rsid w:val="003F3F29"/>
    <w:rsid w:val="003F3FC7"/>
    <w:rsid w:val="003F405B"/>
    <w:rsid w:val="003F420A"/>
    <w:rsid w:val="003F423A"/>
    <w:rsid w:val="003F43B0"/>
    <w:rsid w:val="003F4783"/>
    <w:rsid w:val="003F496C"/>
    <w:rsid w:val="003F4BCB"/>
    <w:rsid w:val="003F4DE3"/>
    <w:rsid w:val="003F4EB8"/>
    <w:rsid w:val="003F4ECF"/>
    <w:rsid w:val="003F50D5"/>
    <w:rsid w:val="003F5110"/>
    <w:rsid w:val="003F538A"/>
    <w:rsid w:val="003F5450"/>
    <w:rsid w:val="003F5658"/>
    <w:rsid w:val="003F57A0"/>
    <w:rsid w:val="003F5AB3"/>
    <w:rsid w:val="003F5D08"/>
    <w:rsid w:val="003F5F33"/>
    <w:rsid w:val="003F6059"/>
    <w:rsid w:val="003F6533"/>
    <w:rsid w:val="003F6C0F"/>
    <w:rsid w:val="003F723A"/>
    <w:rsid w:val="003F761A"/>
    <w:rsid w:val="003F7AB9"/>
    <w:rsid w:val="0040002D"/>
    <w:rsid w:val="004002C9"/>
    <w:rsid w:val="004004A0"/>
    <w:rsid w:val="00400581"/>
    <w:rsid w:val="00400793"/>
    <w:rsid w:val="0040085F"/>
    <w:rsid w:val="00400873"/>
    <w:rsid w:val="00400AE4"/>
    <w:rsid w:val="00401020"/>
    <w:rsid w:val="00401243"/>
    <w:rsid w:val="00401A75"/>
    <w:rsid w:val="00401C69"/>
    <w:rsid w:val="00402049"/>
    <w:rsid w:val="00402061"/>
    <w:rsid w:val="004020A3"/>
    <w:rsid w:val="004022C0"/>
    <w:rsid w:val="0040233F"/>
    <w:rsid w:val="004024DA"/>
    <w:rsid w:val="0040264A"/>
    <w:rsid w:val="004028E1"/>
    <w:rsid w:val="00402D2A"/>
    <w:rsid w:val="00402E6F"/>
    <w:rsid w:val="00403648"/>
    <w:rsid w:val="00403984"/>
    <w:rsid w:val="00403BC7"/>
    <w:rsid w:val="00403D2B"/>
    <w:rsid w:val="00403F61"/>
    <w:rsid w:val="00404032"/>
    <w:rsid w:val="00404186"/>
    <w:rsid w:val="0040431B"/>
    <w:rsid w:val="0040438B"/>
    <w:rsid w:val="0040443F"/>
    <w:rsid w:val="00404C7F"/>
    <w:rsid w:val="004053E7"/>
    <w:rsid w:val="004054F3"/>
    <w:rsid w:val="00405601"/>
    <w:rsid w:val="004056A9"/>
    <w:rsid w:val="004058EC"/>
    <w:rsid w:val="00405BF2"/>
    <w:rsid w:val="00405F4B"/>
    <w:rsid w:val="00405FDF"/>
    <w:rsid w:val="0040608B"/>
    <w:rsid w:val="0040626D"/>
    <w:rsid w:val="00406435"/>
    <w:rsid w:val="00406515"/>
    <w:rsid w:val="0040662E"/>
    <w:rsid w:val="004067AB"/>
    <w:rsid w:val="0040685C"/>
    <w:rsid w:val="00406A6A"/>
    <w:rsid w:val="00406B31"/>
    <w:rsid w:val="00406BB3"/>
    <w:rsid w:val="00406C27"/>
    <w:rsid w:val="00406CCE"/>
    <w:rsid w:val="00406CF7"/>
    <w:rsid w:val="00406DD1"/>
    <w:rsid w:val="00406DE4"/>
    <w:rsid w:val="00406E1F"/>
    <w:rsid w:val="00406E82"/>
    <w:rsid w:val="00407037"/>
    <w:rsid w:val="004070CD"/>
    <w:rsid w:val="00407145"/>
    <w:rsid w:val="004071D9"/>
    <w:rsid w:val="0040720F"/>
    <w:rsid w:val="00407215"/>
    <w:rsid w:val="0040764A"/>
    <w:rsid w:val="004076AE"/>
    <w:rsid w:val="00407726"/>
    <w:rsid w:val="004077B2"/>
    <w:rsid w:val="004077C9"/>
    <w:rsid w:val="0040797A"/>
    <w:rsid w:val="00407AD5"/>
    <w:rsid w:val="00407C99"/>
    <w:rsid w:val="0041015C"/>
    <w:rsid w:val="0041026F"/>
    <w:rsid w:val="00410A5A"/>
    <w:rsid w:val="00410B1B"/>
    <w:rsid w:val="00410B55"/>
    <w:rsid w:val="00410C11"/>
    <w:rsid w:val="00410C24"/>
    <w:rsid w:val="00410E12"/>
    <w:rsid w:val="00411006"/>
    <w:rsid w:val="004113DB"/>
    <w:rsid w:val="00411406"/>
    <w:rsid w:val="00411568"/>
    <w:rsid w:val="0041161A"/>
    <w:rsid w:val="0041165E"/>
    <w:rsid w:val="004118E0"/>
    <w:rsid w:val="00411E17"/>
    <w:rsid w:val="00412144"/>
    <w:rsid w:val="004122F0"/>
    <w:rsid w:val="0041271B"/>
    <w:rsid w:val="004129B7"/>
    <w:rsid w:val="00412A93"/>
    <w:rsid w:val="004130AB"/>
    <w:rsid w:val="00413375"/>
    <w:rsid w:val="0041340F"/>
    <w:rsid w:val="00413684"/>
    <w:rsid w:val="00413740"/>
    <w:rsid w:val="00413E93"/>
    <w:rsid w:val="00414135"/>
    <w:rsid w:val="00414348"/>
    <w:rsid w:val="0041453B"/>
    <w:rsid w:val="004145BE"/>
    <w:rsid w:val="004147C2"/>
    <w:rsid w:val="004149BC"/>
    <w:rsid w:val="00414BEA"/>
    <w:rsid w:val="00414D44"/>
    <w:rsid w:val="00414D9A"/>
    <w:rsid w:val="0041505D"/>
    <w:rsid w:val="004155A9"/>
    <w:rsid w:val="00415A3E"/>
    <w:rsid w:val="00415E90"/>
    <w:rsid w:val="00416375"/>
    <w:rsid w:val="004164A9"/>
    <w:rsid w:val="004166D3"/>
    <w:rsid w:val="00416C5E"/>
    <w:rsid w:val="00416F10"/>
    <w:rsid w:val="004174F5"/>
    <w:rsid w:val="0041752A"/>
    <w:rsid w:val="00417937"/>
    <w:rsid w:val="00417D0A"/>
    <w:rsid w:val="00417E00"/>
    <w:rsid w:val="00420244"/>
    <w:rsid w:val="0042063E"/>
    <w:rsid w:val="00420F42"/>
    <w:rsid w:val="0042167C"/>
    <w:rsid w:val="0042172B"/>
    <w:rsid w:val="00421848"/>
    <w:rsid w:val="004219F6"/>
    <w:rsid w:val="00421A5C"/>
    <w:rsid w:val="00421A6C"/>
    <w:rsid w:val="00421B0D"/>
    <w:rsid w:val="00421C3A"/>
    <w:rsid w:val="00421E94"/>
    <w:rsid w:val="00422442"/>
    <w:rsid w:val="00422510"/>
    <w:rsid w:val="0042257D"/>
    <w:rsid w:val="0042274B"/>
    <w:rsid w:val="00422907"/>
    <w:rsid w:val="00422922"/>
    <w:rsid w:val="00422A65"/>
    <w:rsid w:val="00422AD4"/>
    <w:rsid w:val="00422FC9"/>
    <w:rsid w:val="004230C8"/>
    <w:rsid w:val="00423350"/>
    <w:rsid w:val="004233C6"/>
    <w:rsid w:val="0042376A"/>
    <w:rsid w:val="00423926"/>
    <w:rsid w:val="004239B1"/>
    <w:rsid w:val="00423E2C"/>
    <w:rsid w:val="00423E42"/>
    <w:rsid w:val="004242B6"/>
    <w:rsid w:val="004243CE"/>
    <w:rsid w:val="00424432"/>
    <w:rsid w:val="0042448F"/>
    <w:rsid w:val="00424688"/>
    <w:rsid w:val="00424756"/>
    <w:rsid w:val="00424C0A"/>
    <w:rsid w:val="00424C94"/>
    <w:rsid w:val="00424D57"/>
    <w:rsid w:val="00424E12"/>
    <w:rsid w:val="00424EAC"/>
    <w:rsid w:val="00424F10"/>
    <w:rsid w:val="00424FB6"/>
    <w:rsid w:val="004250A7"/>
    <w:rsid w:val="004252FE"/>
    <w:rsid w:val="0042541B"/>
    <w:rsid w:val="0042569A"/>
    <w:rsid w:val="00425A2A"/>
    <w:rsid w:val="00425AFD"/>
    <w:rsid w:val="00425C20"/>
    <w:rsid w:val="00425CB5"/>
    <w:rsid w:val="004262C7"/>
    <w:rsid w:val="00426796"/>
    <w:rsid w:val="00426969"/>
    <w:rsid w:val="00426F72"/>
    <w:rsid w:val="00427A73"/>
    <w:rsid w:val="00427B6F"/>
    <w:rsid w:val="00427CC5"/>
    <w:rsid w:val="00427E67"/>
    <w:rsid w:val="004300D6"/>
    <w:rsid w:val="0043010B"/>
    <w:rsid w:val="00430252"/>
    <w:rsid w:val="004303BB"/>
    <w:rsid w:val="00430566"/>
    <w:rsid w:val="00430897"/>
    <w:rsid w:val="004308A6"/>
    <w:rsid w:val="004309F6"/>
    <w:rsid w:val="00430C01"/>
    <w:rsid w:val="00430C69"/>
    <w:rsid w:val="00430CE8"/>
    <w:rsid w:val="00430DC0"/>
    <w:rsid w:val="00430E8F"/>
    <w:rsid w:val="00431254"/>
    <w:rsid w:val="004315B0"/>
    <w:rsid w:val="004317B9"/>
    <w:rsid w:val="00431895"/>
    <w:rsid w:val="004319FE"/>
    <w:rsid w:val="00431C8D"/>
    <w:rsid w:val="00432097"/>
    <w:rsid w:val="004322E6"/>
    <w:rsid w:val="0043240B"/>
    <w:rsid w:val="0043240E"/>
    <w:rsid w:val="0043248B"/>
    <w:rsid w:val="004329D7"/>
    <w:rsid w:val="00432D86"/>
    <w:rsid w:val="00432D89"/>
    <w:rsid w:val="00432F51"/>
    <w:rsid w:val="0043301E"/>
    <w:rsid w:val="00433128"/>
    <w:rsid w:val="0043388C"/>
    <w:rsid w:val="00433D1D"/>
    <w:rsid w:val="00433DA0"/>
    <w:rsid w:val="00434097"/>
    <w:rsid w:val="0043427B"/>
    <w:rsid w:val="004343F1"/>
    <w:rsid w:val="0043469A"/>
    <w:rsid w:val="00434810"/>
    <w:rsid w:val="00434941"/>
    <w:rsid w:val="00434C27"/>
    <w:rsid w:val="00434CFC"/>
    <w:rsid w:val="00434D53"/>
    <w:rsid w:val="00435171"/>
    <w:rsid w:val="0043517A"/>
    <w:rsid w:val="004356D6"/>
    <w:rsid w:val="00435BD9"/>
    <w:rsid w:val="004362B6"/>
    <w:rsid w:val="004364D1"/>
    <w:rsid w:val="00436790"/>
    <w:rsid w:val="0043689B"/>
    <w:rsid w:val="00436984"/>
    <w:rsid w:val="00436C20"/>
    <w:rsid w:val="00436C74"/>
    <w:rsid w:val="00436F97"/>
    <w:rsid w:val="004371DB"/>
    <w:rsid w:val="0043747A"/>
    <w:rsid w:val="00440179"/>
    <w:rsid w:val="004404FB"/>
    <w:rsid w:val="00440778"/>
    <w:rsid w:val="00440805"/>
    <w:rsid w:val="00440BDB"/>
    <w:rsid w:val="00440D4C"/>
    <w:rsid w:val="004411D2"/>
    <w:rsid w:val="004413EE"/>
    <w:rsid w:val="0044179A"/>
    <w:rsid w:val="004418AD"/>
    <w:rsid w:val="004418C3"/>
    <w:rsid w:val="00441AD8"/>
    <w:rsid w:val="00441AF6"/>
    <w:rsid w:val="00441B39"/>
    <w:rsid w:val="00441C34"/>
    <w:rsid w:val="00441D48"/>
    <w:rsid w:val="0044243D"/>
    <w:rsid w:val="0044250C"/>
    <w:rsid w:val="00442514"/>
    <w:rsid w:val="00442AB7"/>
    <w:rsid w:val="00442CBA"/>
    <w:rsid w:val="00442E39"/>
    <w:rsid w:val="00443308"/>
    <w:rsid w:val="00443872"/>
    <w:rsid w:val="00443A36"/>
    <w:rsid w:val="00443B2C"/>
    <w:rsid w:val="00443C0B"/>
    <w:rsid w:val="00443D15"/>
    <w:rsid w:val="00443D37"/>
    <w:rsid w:val="004442CD"/>
    <w:rsid w:val="004444F5"/>
    <w:rsid w:val="00444709"/>
    <w:rsid w:val="0044475A"/>
    <w:rsid w:val="0044485C"/>
    <w:rsid w:val="0044497B"/>
    <w:rsid w:val="00444DED"/>
    <w:rsid w:val="0044541C"/>
    <w:rsid w:val="00445551"/>
    <w:rsid w:val="0044591A"/>
    <w:rsid w:val="00445A52"/>
    <w:rsid w:val="00445B92"/>
    <w:rsid w:val="00445F28"/>
    <w:rsid w:val="004463D9"/>
    <w:rsid w:val="00446432"/>
    <w:rsid w:val="004466B9"/>
    <w:rsid w:val="00446729"/>
    <w:rsid w:val="00446C8C"/>
    <w:rsid w:val="00447147"/>
    <w:rsid w:val="00447237"/>
    <w:rsid w:val="0044788F"/>
    <w:rsid w:val="004478EE"/>
    <w:rsid w:val="00447904"/>
    <w:rsid w:val="00447E74"/>
    <w:rsid w:val="004500B6"/>
    <w:rsid w:val="00450133"/>
    <w:rsid w:val="004503A9"/>
    <w:rsid w:val="004503C4"/>
    <w:rsid w:val="00450979"/>
    <w:rsid w:val="00450C94"/>
    <w:rsid w:val="00450D72"/>
    <w:rsid w:val="00450F0E"/>
    <w:rsid w:val="004511F8"/>
    <w:rsid w:val="0045137A"/>
    <w:rsid w:val="0045171A"/>
    <w:rsid w:val="0045186B"/>
    <w:rsid w:val="004519F8"/>
    <w:rsid w:val="00451A2B"/>
    <w:rsid w:val="00451FC9"/>
    <w:rsid w:val="00451FD0"/>
    <w:rsid w:val="00452146"/>
    <w:rsid w:val="004523AD"/>
    <w:rsid w:val="004526D0"/>
    <w:rsid w:val="004527CC"/>
    <w:rsid w:val="00452A49"/>
    <w:rsid w:val="00452BFF"/>
    <w:rsid w:val="00452C78"/>
    <w:rsid w:val="0045319E"/>
    <w:rsid w:val="004534A6"/>
    <w:rsid w:val="00453503"/>
    <w:rsid w:val="004535FE"/>
    <w:rsid w:val="00453AB3"/>
    <w:rsid w:val="00453B00"/>
    <w:rsid w:val="00453B8F"/>
    <w:rsid w:val="00453BA0"/>
    <w:rsid w:val="00454055"/>
    <w:rsid w:val="0045406E"/>
    <w:rsid w:val="004544A1"/>
    <w:rsid w:val="00454896"/>
    <w:rsid w:val="00454B90"/>
    <w:rsid w:val="0045513E"/>
    <w:rsid w:val="00455276"/>
    <w:rsid w:val="004554EE"/>
    <w:rsid w:val="00455A74"/>
    <w:rsid w:val="00455CEF"/>
    <w:rsid w:val="00455D5D"/>
    <w:rsid w:val="004561A9"/>
    <w:rsid w:val="0045634C"/>
    <w:rsid w:val="004566D4"/>
    <w:rsid w:val="004568C8"/>
    <w:rsid w:val="00456AC1"/>
    <w:rsid w:val="00456F95"/>
    <w:rsid w:val="004570F8"/>
    <w:rsid w:val="004572A6"/>
    <w:rsid w:val="00457412"/>
    <w:rsid w:val="004575EA"/>
    <w:rsid w:val="004575F4"/>
    <w:rsid w:val="00457766"/>
    <w:rsid w:val="00457855"/>
    <w:rsid w:val="00457877"/>
    <w:rsid w:val="004578BD"/>
    <w:rsid w:val="00457999"/>
    <w:rsid w:val="004579A2"/>
    <w:rsid w:val="00457AB8"/>
    <w:rsid w:val="00457B53"/>
    <w:rsid w:val="00457BE0"/>
    <w:rsid w:val="00457F01"/>
    <w:rsid w:val="004601F8"/>
    <w:rsid w:val="00460211"/>
    <w:rsid w:val="00460E04"/>
    <w:rsid w:val="00460E92"/>
    <w:rsid w:val="004614B2"/>
    <w:rsid w:val="0046176A"/>
    <w:rsid w:val="00461785"/>
    <w:rsid w:val="00461819"/>
    <w:rsid w:val="00461ADA"/>
    <w:rsid w:val="00461BA5"/>
    <w:rsid w:val="00461FB0"/>
    <w:rsid w:val="0046254F"/>
    <w:rsid w:val="00462581"/>
    <w:rsid w:val="00462739"/>
    <w:rsid w:val="0046298C"/>
    <w:rsid w:val="00462EB3"/>
    <w:rsid w:val="00462FF2"/>
    <w:rsid w:val="004631ED"/>
    <w:rsid w:val="004632DC"/>
    <w:rsid w:val="0046330F"/>
    <w:rsid w:val="00463695"/>
    <w:rsid w:val="004639AA"/>
    <w:rsid w:val="00463DA3"/>
    <w:rsid w:val="00463F36"/>
    <w:rsid w:val="00463F9D"/>
    <w:rsid w:val="004641EE"/>
    <w:rsid w:val="00464749"/>
    <w:rsid w:val="00464F54"/>
    <w:rsid w:val="00465097"/>
    <w:rsid w:val="0046518D"/>
    <w:rsid w:val="004656CE"/>
    <w:rsid w:val="004658F2"/>
    <w:rsid w:val="004659DB"/>
    <w:rsid w:val="00465D90"/>
    <w:rsid w:val="00465FB4"/>
    <w:rsid w:val="00465FB9"/>
    <w:rsid w:val="0046623E"/>
    <w:rsid w:val="004663D1"/>
    <w:rsid w:val="004664F4"/>
    <w:rsid w:val="00466859"/>
    <w:rsid w:val="00466A3F"/>
    <w:rsid w:val="00466D0F"/>
    <w:rsid w:val="00466D3E"/>
    <w:rsid w:val="00466D6F"/>
    <w:rsid w:val="00466E34"/>
    <w:rsid w:val="004670AC"/>
    <w:rsid w:val="004671D7"/>
    <w:rsid w:val="004672CB"/>
    <w:rsid w:val="004674A1"/>
    <w:rsid w:val="004674F8"/>
    <w:rsid w:val="00467619"/>
    <w:rsid w:val="004677BB"/>
    <w:rsid w:val="00467A7F"/>
    <w:rsid w:val="00467CB4"/>
    <w:rsid w:val="00467D81"/>
    <w:rsid w:val="00467DAE"/>
    <w:rsid w:val="00467EC5"/>
    <w:rsid w:val="0047020D"/>
    <w:rsid w:val="004703F2"/>
    <w:rsid w:val="00470881"/>
    <w:rsid w:val="004708B1"/>
    <w:rsid w:val="004708CE"/>
    <w:rsid w:val="00470916"/>
    <w:rsid w:val="0047091E"/>
    <w:rsid w:val="00470ADB"/>
    <w:rsid w:val="00470C9D"/>
    <w:rsid w:val="00470CB4"/>
    <w:rsid w:val="00470CDD"/>
    <w:rsid w:val="00470CE2"/>
    <w:rsid w:val="0047106F"/>
    <w:rsid w:val="004712A2"/>
    <w:rsid w:val="0047137F"/>
    <w:rsid w:val="0047143A"/>
    <w:rsid w:val="0047146F"/>
    <w:rsid w:val="004715E3"/>
    <w:rsid w:val="00471736"/>
    <w:rsid w:val="00471B19"/>
    <w:rsid w:val="00471B9F"/>
    <w:rsid w:val="00471D01"/>
    <w:rsid w:val="00471D90"/>
    <w:rsid w:val="004721D6"/>
    <w:rsid w:val="004721E6"/>
    <w:rsid w:val="0047278B"/>
    <w:rsid w:val="004729D7"/>
    <w:rsid w:val="00472C95"/>
    <w:rsid w:val="00472EE0"/>
    <w:rsid w:val="0047306B"/>
    <w:rsid w:val="004730C4"/>
    <w:rsid w:val="00473280"/>
    <w:rsid w:val="0047358F"/>
    <w:rsid w:val="004735CA"/>
    <w:rsid w:val="004735FE"/>
    <w:rsid w:val="004737E7"/>
    <w:rsid w:val="00473EB4"/>
    <w:rsid w:val="00473FAF"/>
    <w:rsid w:val="004744A2"/>
    <w:rsid w:val="004747C4"/>
    <w:rsid w:val="004747D6"/>
    <w:rsid w:val="0047497D"/>
    <w:rsid w:val="00474C1C"/>
    <w:rsid w:val="00474C4B"/>
    <w:rsid w:val="00474D85"/>
    <w:rsid w:val="00474F8B"/>
    <w:rsid w:val="004751CF"/>
    <w:rsid w:val="004759A8"/>
    <w:rsid w:val="00475C8A"/>
    <w:rsid w:val="0047650F"/>
    <w:rsid w:val="004765B8"/>
    <w:rsid w:val="004765DA"/>
    <w:rsid w:val="00476796"/>
    <w:rsid w:val="004767B0"/>
    <w:rsid w:val="00476955"/>
    <w:rsid w:val="00476A94"/>
    <w:rsid w:val="00476AF0"/>
    <w:rsid w:val="00476B9C"/>
    <w:rsid w:val="0047748D"/>
    <w:rsid w:val="00477521"/>
    <w:rsid w:val="0047791B"/>
    <w:rsid w:val="00477C0D"/>
    <w:rsid w:val="00477ED1"/>
    <w:rsid w:val="0048063F"/>
    <w:rsid w:val="0048087D"/>
    <w:rsid w:val="004808D5"/>
    <w:rsid w:val="004808F9"/>
    <w:rsid w:val="004809C8"/>
    <w:rsid w:val="00480A74"/>
    <w:rsid w:val="00480D11"/>
    <w:rsid w:val="00480D9E"/>
    <w:rsid w:val="00480DB7"/>
    <w:rsid w:val="00481398"/>
    <w:rsid w:val="004814D3"/>
    <w:rsid w:val="00481707"/>
    <w:rsid w:val="0048192C"/>
    <w:rsid w:val="00481A86"/>
    <w:rsid w:val="00481CD9"/>
    <w:rsid w:val="00481FAF"/>
    <w:rsid w:val="0048203B"/>
    <w:rsid w:val="00482064"/>
    <w:rsid w:val="004823DA"/>
    <w:rsid w:val="00482A36"/>
    <w:rsid w:val="00482BC5"/>
    <w:rsid w:val="00483256"/>
    <w:rsid w:val="00483422"/>
    <w:rsid w:val="0048352B"/>
    <w:rsid w:val="00483579"/>
    <w:rsid w:val="004839BE"/>
    <w:rsid w:val="004839F3"/>
    <w:rsid w:val="00483D10"/>
    <w:rsid w:val="00483E18"/>
    <w:rsid w:val="00483FE3"/>
    <w:rsid w:val="0048423E"/>
    <w:rsid w:val="00484850"/>
    <w:rsid w:val="00484874"/>
    <w:rsid w:val="0048496F"/>
    <w:rsid w:val="004849C1"/>
    <w:rsid w:val="00484B37"/>
    <w:rsid w:val="00484E13"/>
    <w:rsid w:val="004851A8"/>
    <w:rsid w:val="004851C5"/>
    <w:rsid w:val="00485209"/>
    <w:rsid w:val="0048560E"/>
    <w:rsid w:val="004857AE"/>
    <w:rsid w:val="0048582E"/>
    <w:rsid w:val="00485E32"/>
    <w:rsid w:val="00485F09"/>
    <w:rsid w:val="00485FFF"/>
    <w:rsid w:val="0048641A"/>
    <w:rsid w:val="004866C2"/>
    <w:rsid w:val="004868DD"/>
    <w:rsid w:val="00486A2E"/>
    <w:rsid w:val="00486CF1"/>
    <w:rsid w:val="00486D6C"/>
    <w:rsid w:val="00486D9D"/>
    <w:rsid w:val="00486F80"/>
    <w:rsid w:val="00486FBB"/>
    <w:rsid w:val="00487038"/>
    <w:rsid w:val="004870E0"/>
    <w:rsid w:val="0048718F"/>
    <w:rsid w:val="00487371"/>
    <w:rsid w:val="00487453"/>
    <w:rsid w:val="0048745B"/>
    <w:rsid w:val="00487655"/>
    <w:rsid w:val="00487DD7"/>
    <w:rsid w:val="00487EA9"/>
    <w:rsid w:val="00487EAC"/>
    <w:rsid w:val="00490008"/>
    <w:rsid w:val="004902E5"/>
    <w:rsid w:val="0049043A"/>
    <w:rsid w:val="004909C9"/>
    <w:rsid w:val="004909CF"/>
    <w:rsid w:val="00490B55"/>
    <w:rsid w:val="00490B5C"/>
    <w:rsid w:val="00490BDC"/>
    <w:rsid w:val="00490C42"/>
    <w:rsid w:val="00490E36"/>
    <w:rsid w:val="004914FB"/>
    <w:rsid w:val="00491514"/>
    <w:rsid w:val="004915E2"/>
    <w:rsid w:val="00491A59"/>
    <w:rsid w:val="00491EA4"/>
    <w:rsid w:val="004923B4"/>
    <w:rsid w:val="00492572"/>
    <w:rsid w:val="00492A6E"/>
    <w:rsid w:val="00492ABF"/>
    <w:rsid w:val="00492EB4"/>
    <w:rsid w:val="00492F54"/>
    <w:rsid w:val="0049321E"/>
    <w:rsid w:val="004932E4"/>
    <w:rsid w:val="0049330D"/>
    <w:rsid w:val="00493AE0"/>
    <w:rsid w:val="00493DDB"/>
    <w:rsid w:val="00494169"/>
    <w:rsid w:val="00494292"/>
    <w:rsid w:val="004943CB"/>
    <w:rsid w:val="004946CE"/>
    <w:rsid w:val="004948A7"/>
    <w:rsid w:val="00494B4F"/>
    <w:rsid w:val="00494C95"/>
    <w:rsid w:val="00494E74"/>
    <w:rsid w:val="004950A9"/>
    <w:rsid w:val="0049528D"/>
    <w:rsid w:val="004954FD"/>
    <w:rsid w:val="0049556E"/>
    <w:rsid w:val="0049576A"/>
    <w:rsid w:val="00495A18"/>
    <w:rsid w:val="00495BA5"/>
    <w:rsid w:val="004961DC"/>
    <w:rsid w:val="0049637E"/>
    <w:rsid w:val="0049642B"/>
    <w:rsid w:val="00496C04"/>
    <w:rsid w:val="00496EBA"/>
    <w:rsid w:val="00496EF9"/>
    <w:rsid w:val="00497001"/>
    <w:rsid w:val="00497132"/>
    <w:rsid w:val="004972E6"/>
    <w:rsid w:val="004A000E"/>
    <w:rsid w:val="004A0632"/>
    <w:rsid w:val="004A0647"/>
    <w:rsid w:val="004A0704"/>
    <w:rsid w:val="004A0854"/>
    <w:rsid w:val="004A0904"/>
    <w:rsid w:val="004A1279"/>
    <w:rsid w:val="004A13F1"/>
    <w:rsid w:val="004A14DB"/>
    <w:rsid w:val="004A16BF"/>
    <w:rsid w:val="004A173A"/>
    <w:rsid w:val="004A1745"/>
    <w:rsid w:val="004A17FF"/>
    <w:rsid w:val="004A18F4"/>
    <w:rsid w:val="004A1ADD"/>
    <w:rsid w:val="004A1C19"/>
    <w:rsid w:val="004A1C30"/>
    <w:rsid w:val="004A20C6"/>
    <w:rsid w:val="004A251E"/>
    <w:rsid w:val="004A2E5C"/>
    <w:rsid w:val="004A2E8C"/>
    <w:rsid w:val="004A2F3B"/>
    <w:rsid w:val="004A2F91"/>
    <w:rsid w:val="004A30CB"/>
    <w:rsid w:val="004A3340"/>
    <w:rsid w:val="004A3818"/>
    <w:rsid w:val="004A3A80"/>
    <w:rsid w:val="004A3B13"/>
    <w:rsid w:val="004A4391"/>
    <w:rsid w:val="004A43C5"/>
    <w:rsid w:val="004A47AE"/>
    <w:rsid w:val="004A485A"/>
    <w:rsid w:val="004A4F31"/>
    <w:rsid w:val="004A4F58"/>
    <w:rsid w:val="004A4F96"/>
    <w:rsid w:val="004A5151"/>
    <w:rsid w:val="004A519A"/>
    <w:rsid w:val="004A5606"/>
    <w:rsid w:val="004A562A"/>
    <w:rsid w:val="004A5832"/>
    <w:rsid w:val="004A5D7A"/>
    <w:rsid w:val="004A60C7"/>
    <w:rsid w:val="004A6240"/>
    <w:rsid w:val="004A6290"/>
    <w:rsid w:val="004A647D"/>
    <w:rsid w:val="004A64C5"/>
    <w:rsid w:val="004A6739"/>
    <w:rsid w:val="004A6B6B"/>
    <w:rsid w:val="004A6C9E"/>
    <w:rsid w:val="004A6F0B"/>
    <w:rsid w:val="004A6F4F"/>
    <w:rsid w:val="004A6FA3"/>
    <w:rsid w:val="004A7064"/>
    <w:rsid w:val="004A70BE"/>
    <w:rsid w:val="004A7414"/>
    <w:rsid w:val="004A750C"/>
    <w:rsid w:val="004A76B8"/>
    <w:rsid w:val="004A76BF"/>
    <w:rsid w:val="004A7734"/>
    <w:rsid w:val="004A7898"/>
    <w:rsid w:val="004A7A4F"/>
    <w:rsid w:val="004A7D84"/>
    <w:rsid w:val="004A7EE4"/>
    <w:rsid w:val="004A7F59"/>
    <w:rsid w:val="004A7F64"/>
    <w:rsid w:val="004B014C"/>
    <w:rsid w:val="004B05C1"/>
    <w:rsid w:val="004B0723"/>
    <w:rsid w:val="004B08CA"/>
    <w:rsid w:val="004B0CA7"/>
    <w:rsid w:val="004B0CCF"/>
    <w:rsid w:val="004B0CDE"/>
    <w:rsid w:val="004B0D32"/>
    <w:rsid w:val="004B0DFD"/>
    <w:rsid w:val="004B0F59"/>
    <w:rsid w:val="004B11AE"/>
    <w:rsid w:val="004B1507"/>
    <w:rsid w:val="004B150F"/>
    <w:rsid w:val="004B153E"/>
    <w:rsid w:val="004B155A"/>
    <w:rsid w:val="004B1582"/>
    <w:rsid w:val="004B1952"/>
    <w:rsid w:val="004B1A37"/>
    <w:rsid w:val="004B1B46"/>
    <w:rsid w:val="004B1E58"/>
    <w:rsid w:val="004B247A"/>
    <w:rsid w:val="004B255F"/>
    <w:rsid w:val="004B2883"/>
    <w:rsid w:val="004B2C5B"/>
    <w:rsid w:val="004B2E09"/>
    <w:rsid w:val="004B3062"/>
    <w:rsid w:val="004B309C"/>
    <w:rsid w:val="004B335A"/>
    <w:rsid w:val="004B354C"/>
    <w:rsid w:val="004B37A3"/>
    <w:rsid w:val="004B3BDC"/>
    <w:rsid w:val="004B3DDA"/>
    <w:rsid w:val="004B3F69"/>
    <w:rsid w:val="004B4184"/>
    <w:rsid w:val="004B4193"/>
    <w:rsid w:val="004B4637"/>
    <w:rsid w:val="004B46C1"/>
    <w:rsid w:val="004B4A12"/>
    <w:rsid w:val="004B4A30"/>
    <w:rsid w:val="004B4A51"/>
    <w:rsid w:val="004B4BD0"/>
    <w:rsid w:val="004B4C48"/>
    <w:rsid w:val="004B5042"/>
    <w:rsid w:val="004B51C8"/>
    <w:rsid w:val="004B5319"/>
    <w:rsid w:val="004B5381"/>
    <w:rsid w:val="004B5384"/>
    <w:rsid w:val="004B548E"/>
    <w:rsid w:val="004B57EE"/>
    <w:rsid w:val="004B5838"/>
    <w:rsid w:val="004B5A47"/>
    <w:rsid w:val="004B5B51"/>
    <w:rsid w:val="004B5C96"/>
    <w:rsid w:val="004B5EFB"/>
    <w:rsid w:val="004B60E8"/>
    <w:rsid w:val="004B611C"/>
    <w:rsid w:val="004B619D"/>
    <w:rsid w:val="004B631F"/>
    <w:rsid w:val="004B673E"/>
    <w:rsid w:val="004B6A60"/>
    <w:rsid w:val="004B6AF2"/>
    <w:rsid w:val="004B6C2B"/>
    <w:rsid w:val="004B6C81"/>
    <w:rsid w:val="004B7100"/>
    <w:rsid w:val="004B718A"/>
    <w:rsid w:val="004B779C"/>
    <w:rsid w:val="004B7A31"/>
    <w:rsid w:val="004B7B93"/>
    <w:rsid w:val="004B7DEB"/>
    <w:rsid w:val="004B7F2A"/>
    <w:rsid w:val="004C0178"/>
    <w:rsid w:val="004C0249"/>
    <w:rsid w:val="004C02A0"/>
    <w:rsid w:val="004C04F7"/>
    <w:rsid w:val="004C05E4"/>
    <w:rsid w:val="004C0667"/>
    <w:rsid w:val="004C0C1A"/>
    <w:rsid w:val="004C0C32"/>
    <w:rsid w:val="004C10FE"/>
    <w:rsid w:val="004C121D"/>
    <w:rsid w:val="004C139F"/>
    <w:rsid w:val="004C14E4"/>
    <w:rsid w:val="004C1995"/>
    <w:rsid w:val="004C1CBE"/>
    <w:rsid w:val="004C1DB3"/>
    <w:rsid w:val="004C1DB8"/>
    <w:rsid w:val="004C1FE6"/>
    <w:rsid w:val="004C2412"/>
    <w:rsid w:val="004C2625"/>
    <w:rsid w:val="004C2B50"/>
    <w:rsid w:val="004C2FFD"/>
    <w:rsid w:val="004C30EB"/>
    <w:rsid w:val="004C34E4"/>
    <w:rsid w:val="004C351E"/>
    <w:rsid w:val="004C3594"/>
    <w:rsid w:val="004C3DC5"/>
    <w:rsid w:val="004C44A3"/>
    <w:rsid w:val="004C45CA"/>
    <w:rsid w:val="004C47ED"/>
    <w:rsid w:val="004C49CE"/>
    <w:rsid w:val="004C4BDD"/>
    <w:rsid w:val="004C4BE6"/>
    <w:rsid w:val="004C4E75"/>
    <w:rsid w:val="004C51CC"/>
    <w:rsid w:val="004C52EB"/>
    <w:rsid w:val="004C53B2"/>
    <w:rsid w:val="004C5469"/>
    <w:rsid w:val="004C5784"/>
    <w:rsid w:val="004C5B45"/>
    <w:rsid w:val="004C5BC3"/>
    <w:rsid w:val="004C5FB4"/>
    <w:rsid w:val="004C6264"/>
    <w:rsid w:val="004C6288"/>
    <w:rsid w:val="004C63F8"/>
    <w:rsid w:val="004C64EC"/>
    <w:rsid w:val="004C6560"/>
    <w:rsid w:val="004C65F1"/>
    <w:rsid w:val="004C66E3"/>
    <w:rsid w:val="004C6A06"/>
    <w:rsid w:val="004C6B2E"/>
    <w:rsid w:val="004C7369"/>
    <w:rsid w:val="004C738C"/>
    <w:rsid w:val="004C760D"/>
    <w:rsid w:val="004C77F2"/>
    <w:rsid w:val="004C7D24"/>
    <w:rsid w:val="004C7D40"/>
    <w:rsid w:val="004D0034"/>
    <w:rsid w:val="004D01DE"/>
    <w:rsid w:val="004D01E1"/>
    <w:rsid w:val="004D0628"/>
    <w:rsid w:val="004D07A7"/>
    <w:rsid w:val="004D07C6"/>
    <w:rsid w:val="004D084D"/>
    <w:rsid w:val="004D09B8"/>
    <w:rsid w:val="004D0E14"/>
    <w:rsid w:val="004D0E8D"/>
    <w:rsid w:val="004D1043"/>
    <w:rsid w:val="004D1045"/>
    <w:rsid w:val="004D1517"/>
    <w:rsid w:val="004D1958"/>
    <w:rsid w:val="004D1C2E"/>
    <w:rsid w:val="004D2501"/>
    <w:rsid w:val="004D2549"/>
    <w:rsid w:val="004D2641"/>
    <w:rsid w:val="004D2803"/>
    <w:rsid w:val="004D28E4"/>
    <w:rsid w:val="004D2A48"/>
    <w:rsid w:val="004D2AC2"/>
    <w:rsid w:val="004D2DE7"/>
    <w:rsid w:val="004D2E6C"/>
    <w:rsid w:val="004D2E7C"/>
    <w:rsid w:val="004D2EE9"/>
    <w:rsid w:val="004D3301"/>
    <w:rsid w:val="004D35C5"/>
    <w:rsid w:val="004D385A"/>
    <w:rsid w:val="004D38C2"/>
    <w:rsid w:val="004D4483"/>
    <w:rsid w:val="004D44B9"/>
    <w:rsid w:val="004D4E29"/>
    <w:rsid w:val="004D4F27"/>
    <w:rsid w:val="004D5233"/>
    <w:rsid w:val="004D5716"/>
    <w:rsid w:val="004D57ED"/>
    <w:rsid w:val="004D586A"/>
    <w:rsid w:val="004D58A1"/>
    <w:rsid w:val="004D5D06"/>
    <w:rsid w:val="004D5D42"/>
    <w:rsid w:val="004D5DB0"/>
    <w:rsid w:val="004D5EDD"/>
    <w:rsid w:val="004D61BA"/>
    <w:rsid w:val="004D61FC"/>
    <w:rsid w:val="004D62F6"/>
    <w:rsid w:val="004D63EB"/>
    <w:rsid w:val="004D6450"/>
    <w:rsid w:val="004D6E66"/>
    <w:rsid w:val="004D7008"/>
    <w:rsid w:val="004D7390"/>
    <w:rsid w:val="004D750B"/>
    <w:rsid w:val="004D77A9"/>
    <w:rsid w:val="004D7AB0"/>
    <w:rsid w:val="004D7C55"/>
    <w:rsid w:val="004E062C"/>
    <w:rsid w:val="004E0732"/>
    <w:rsid w:val="004E080B"/>
    <w:rsid w:val="004E0E86"/>
    <w:rsid w:val="004E0FBD"/>
    <w:rsid w:val="004E1294"/>
    <w:rsid w:val="004E1718"/>
    <w:rsid w:val="004E1ED4"/>
    <w:rsid w:val="004E2039"/>
    <w:rsid w:val="004E20F9"/>
    <w:rsid w:val="004E2135"/>
    <w:rsid w:val="004E21FB"/>
    <w:rsid w:val="004E2373"/>
    <w:rsid w:val="004E23A5"/>
    <w:rsid w:val="004E24F9"/>
    <w:rsid w:val="004E26B3"/>
    <w:rsid w:val="004E26D0"/>
    <w:rsid w:val="004E2794"/>
    <w:rsid w:val="004E2B0C"/>
    <w:rsid w:val="004E2D37"/>
    <w:rsid w:val="004E2D42"/>
    <w:rsid w:val="004E30EA"/>
    <w:rsid w:val="004E39BD"/>
    <w:rsid w:val="004E3EC4"/>
    <w:rsid w:val="004E4007"/>
    <w:rsid w:val="004E4DE9"/>
    <w:rsid w:val="004E4DF1"/>
    <w:rsid w:val="004E4E59"/>
    <w:rsid w:val="004E54E5"/>
    <w:rsid w:val="004E5725"/>
    <w:rsid w:val="004E5938"/>
    <w:rsid w:val="004E5D09"/>
    <w:rsid w:val="004E5DB8"/>
    <w:rsid w:val="004E64A3"/>
    <w:rsid w:val="004E6638"/>
    <w:rsid w:val="004E6BB0"/>
    <w:rsid w:val="004E6CCE"/>
    <w:rsid w:val="004E6F0B"/>
    <w:rsid w:val="004E6F37"/>
    <w:rsid w:val="004E71BB"/>
    <w:rsid w:val="004E7701"/>
    <w:rsid w:val="004E79D0"/>
    <w:rsid w:val="004E7ACD"/>
    <w:rsid w:val="004E7D71"/>
    <w:rsid w:val="004F01B6"/>
    <w:rsid w:val="004F028F"/>
    <w:rsid w:val="004F0326"/>
    <w:rsid w:val="004F0573"/>
    <w:rsid w:val="004F05A8"/>
    <w:rsid w:val="004F0CC6"/>
    <w:rsid w:val="004F0D7A"/>
    <w:rsid w:val="004F1164"/>
    <w:rsid w:val="004F1685"/>
    <w:rsid w:val="004F1715"/>
    <w:rsid w:val="004F1D4F"/>
    <w:rsid w:val="004F1F79"/>
    <w:rsid w:val="004F20C8"/>
    <w:rsid w:val="004F20FC"/>
    <w:rsid w:val="004F2A27"/>
    <w:rsid w:val="004F2A47"/>
    <w:rsid w:val="004F2AA7"/>
    <w:rsid w:val="004F2BC6"/>
    <w:rsid w:val="004F2C70"/>
    <w:rsid w:val="004F2E0F"/>
    <w:rsid w:val="004F2FD1"/>
    <w:rsid w:val="004F3374"/>
    <w:rsid w:val="004F3635"/>
    <w:rsid w:val="004F374D"/>
    <w:rsid w:val="004F3819"/>
    <w:rsid w:val="004F3AAB"/>
    <w:rsid w:val="004F3CEC"/>
    <w:rsid w:val="004F3D11"/>
    <w:rsid w:val="004F3D25"/>
    <w:rsid w:val="004F3D4B"/>
    <w:rsid w:val="004F3F9E"/>
    <w:rsid w:val="004F461F"/>
    <w:rsid w:val="004F488C"/>
    <w:rsid w:val="004F4C18"/>
    <w:rsid w:val="004F4EC4"/>
    <w:rsid w:val="004F4F06"/>
    <w:rsid w:val="004F533D"/>
    <w:rsid w:val="004F55A5"/>
    <w:rsid w:val="004F55E0"/>
    <w:rsid w:val="004F565B"/>
    <w:rsid w:val="004F57ED"/>
    <w:rsid w:val="004F597E"/>
    <w:rsid w:val="004F59A3"/>
    <w:rsid w:val="004F59F5"/>
    <w:rsid w:val="004F5BC8"/>
    <w:rsid w:val="004F5BED"/>
    <w:rsid w:val="004F5CE4"/>
    <w:rsid w:val="004F5F27"/>
    <w:rsid w:val="004F5FCC"/>
    <w:rsid w:val="004F60B3"/>
    <w:rsid w:val="004F683A"/>
    <w:rsid w:val="004F6872"/>
    <w:rsid w:val="004F767E"/>
    <w:rsid w:val="004F76F9"/>
    <w:rsid w:val="004F7883"/>
    <w:rsid w:val="004F78E9"/>
    <w:rsid w:val="004F7A82"/>
    <w:rsid w:val="005003F1"/>
    <w:rsid w:val="005004E8"/>
    <w:rsid w:val="005006CD"/>
    <w:rsid w:val="00500E5C"/>
    <w:rsid w:val="00500FE4"/>
    <w:rsid w:val="005010C5"/>
    <w:rsid w:val="0050118D"/>
    <w:rsid w:val="005012B8"/>
    <w:rsid w:val="0050140D"/>
    <w:rsid w:val="0050156E"/>
    <w:rsid w:val="00501811"/>
    <w:rsid w:val="00501A2F"/>
    <w:rsid w:val="0050247B"/>
    <w:rsid w:val="0050264F"/>
    <w:rsid w:val="005027F9"/>
    <w:rsid w:val="005028C1"/>
    <w:rsid w:val="00502EC6"/>
    <w:rsid w:val="005030FE"/>
    <w:rsid w:val="0050311C"/>
    <w:rsid w:val="0050339D"/>
    <w:rsid w:val="00503552"/>
    <w:rsid w:val="0050376A"/>
    <w:rsid w:val="00503C30"/>
    <w:rsid w:val="00503DCE"/>
    <w:rsid w:val="00503F93"/>
    <w:rsid w:val="00504010"/>
    <w:rsid w:val="005040B2"/>
    <w:rsid w:val="005046AC"/>
    <w:rsid w:val="00504836"/>
    <w:rsid w:val="005049AD"/>
    <w:rsid w:val="005049C0"/>
    <w:rsid w:val="00504B13"/>
    <w:rsid w:val="00504C6D"/>
    <w:rsid w:val="00504E8B"/>
    <w:rsid w:val="00505043"/>
    <w:rsid w:val="00505375"/>
    <w:rsid w:val="0050543B"/>
    <w:rsid w:val="0050544C"/>
    <w:rsid w:val="00505562"/>
    <w:rsid w:val="00505770"/>
    <w:rsid w:val="005057FE"/>
    <w:rsid w:val="005059D0"/>
    <w:rsid w:val="00505B37"/>
    <w:rsid w:val="005060CD"/>
    <w:rsid w:val="005060FE"/>
    <w:rsid w:val="005067C6"/>
    <w:rsid w:val="00506FA0"/>
    <w:rsid w:val="00507002"/>
    <w:rsid w:val="00507206"/>
    <w:rsid w:val="0050729F"/>
    <w:rsid w:val="00507354"/>
    <w:rsid w:val="005073F6"/>
    <w:rsid w:val="005078CE"/>
    <w:rsid w:val="00507B30"/>
    <w:rsid w:val="00507B38"/>
    <w:rsid w:val="00507B56"/>
    <w:rsid w:val="00507B88"/>
    <w:rsid w:val="00507C1E"/>
    <w:rsid w:val="00507C98"/>
    <w:rsid w:val="00507E39"/>
    <w:rsid w:val="00507E4B"/>
    <w:rsid w:val="00507F32"/>
    <w:rsid w:val="00507FCE"/>
    <w:rsid w:val="0051018E"/>
    <w:rsid w:val="005102A8"/>
    <w:rsid w:val="00510604"/>
    <w:rsid w:val="0051078D"/>
    <w:rsid w:val="0051085C"/>
    <w:rsid w:val="00510BBC"/>
    <w:rsid w:val="00510F76"/>
    <w:rsid w:val="00511107"/>
    <w:rsid w:val="00511419"/>
    <w:rsid w:val="00511428"/>
    <w:rsid w:val="0051184C"/>
    <w:rsid w:val="00511867"/>
    <w:rsid w:val="005118DB"/>
    <w:rsid w:val="0051190B"/>
    <w:rsid w:val="00511AD6"/>
    <w:rsid w:val="00511B1A"/>
    <w:rsid w:val="00511D92"/>
    <w:rsid w:val="005123DA"/>
    <w:rsid w:val="005126B5"/>
    <w:rsid w:val="00512B0A"/>
    <w:rsid w:val="00512B11"/>
    <w:rsid w:val="00512B2B"/>
    <w:rsid w:val="00512C45"/>
    <w:rsid w:val="00512DD3"/>
    <w:rsid w:val="00513100"/>
    <w:rsid w:val="00513260"/>
    <w:rsid w:val="0051326C"/>
    <w:rsid w:val="0051335D"/>
    <w:rsid w:val="00513B45"/>
    <w:rsid w:val="00513B89"/>
    <w:rsid w:val="00513D1F"/>
    <w:rsid w:val="00513D38"/>
    <w:rsid w:val="00513FF1"/>
    <w:rsid w:val="0051401A"/>
    <w:rsid w:val="0051424E"/>
    <w:rsid w:val="005142D2"/>
    <w:rsid w:val="005146E4"/>
    <w:rsid w:val="00514E6A"/>
    <w:rsid w:val="00514E83"/>
    <w:rsid w:val="00514EC0"/>
    <w:rsid w:val="00515318"/>
    <w:rsid w:val="005155F0"/>
    <w:rsid w:val="005158D6"/>
    <w:rsid w:val="0051599D"/>
    <w:rsid w:val="00515D12"/>
    <w:rsid w:val="005163B3"/>
    <w:rsid w:val="005163B6"/>
    <w:rsid w:val="00516742"/>
    <w:rsid w:val="00516966"/>
    <w:rsid w:val="005169DE"/>
    <w:rsid w:val="00516A26"/>
    <w:rsid w:val="00516D44"/>
    <w:rsid w:val="0051711E"/>
    <w:rsid w:val="0051728F"/>
    <w:rsid w:val="0051758F"/>
    <w:rsid w:val="00517DD2"/>
    <w:rsid w:val="00517E33"/>
    <w:rsid w:val="005200CC"/>
    <w:rsid w:val="005202AF"/>
    <w:rsid w:val="00520313"/>
    <w:rsid w:val="0052035C"/>
    <w:rsid w:val="0052040C"/>
    <w:rsid w:val="00520715"/>
    <w:rsid w:val="0052094E"/>
    <w:rsid w:val="00520D72"/>
    <w:rsid w:val="00520F78"/>
    <w:rsid w:val="0052142F"/>
    <w:rsid w:val="00521810"/>
    <w:rsid w:val="00522073"/>
    <w:rsid w:val="005220C0"/>
    <w:rsid w:val="00522708"/>
    <w:rsid w:val="005227A1"/>
    <w:rsid w:val="005227C0"/>
    <w:rsid w:val="005228CD"/>
    <w:rsid w:val="00522910"/>
    <w:rsid w:val="00522D31"/>
    <w:rsid w:val="00522ED5"/>
    <w:rsid w:val="005231E7"/>
    <w:rsid w:val="0052356E"/>
    <w:rsid w:val="005236A6"/>
    <w:rsid w:val="00523A79"/>
    <w:rsid w:val="00523C57"/>
    <w:rsid w:val="00523CEF"/>
    <w:rsid w:val="00523F66"/>
    <w:rsid w:val="0052412C"/>
    <w:rsid w:val="005241D2"/>
    <w:rsid w:val="005242E3"/>
    <w:rsid w:val="005243FF"/>
    <w:rsid w:val="005246AA"/>
    <w:rsid w:val="00524700"/>
    <w:rsid w:val="00524828"/>
    <w:rsid w:val="00524945"/>
    <w:rsid w:val="00524AA3"/>
    <w:rsid w:val="00524BD0"/>
    <w:rsid w:val="00525264"/>
    <w:rsid w:val="00525417"/>
    <w:rsid w:val="005254DC"/>
    <w:rsid w:val="00525544"/>
    <w:rsid w:val="005256C8"/>
    <w:rsid w:val="00525C07"/>
    <w:rsid w:val="00525DF7"/>
    <w:rsid w:val="00525E8C"/>
    <w:rsid w:val="00525FFD"/>
    <w:rsid w:val="005261C2"/>
    <w:rsid w:val="00526298"/>
    <w:rsid w:val="0052683E"/>
    <w:rsid w:val="005268C8"/>
    <w:rsid w:val="00526C51"/>
    <w:rsid w:val="00526DA2"/>
    <w:rsid w:val="005272E8"/>
    <w:rsid w:val="0052733E"/>
    <w:rsid w:val="005277C3"/>
    <w:rsid w:val="0052788C"/>
    <w:rsid w:val="00527A57"/>
    <w:rsid w:val="00527AA8"/>
    <w:rsid w:val="00527CB3"/>
    <w:rsid w:val="00527EF4"/>
    <w:rsid w:val="00530323"/>
    <w:rsid w:val="005305EF"/>
    <w:rsid w:val="00531195"/>
    <w:rsid w:val="0053146E"/>
    <w:rsid w:val="0053176C"/>
    <w:rsid w:val="00531849"/>
    <w:rsid w:val="00531ECC"/>
    <w:rsid w:val="00531EF5"/>
    <w:rsid w:val="00532314"/>
    <w:rsid w:val="00532380"/>
    <w:rsid w:val="005323EB"/>
    <w:rsid w:val="005326AF"/>
    <w:rsid w:val="005327C1"/>
    <w:rsid w:val="005327D4"/>
    <w:rsid w:val="00532932"/>
    <w:rsid w:val="00532947"/>
    <w:rsid w:val="005329E5"/>
    <w:rsid w:val="005329EB"/>
    <w:rsid w:val="00532AF9"/>
    <w:rsid w:val="00532CCB"/>
    <w:rsid w:val="00532EED"/>
    <w:rsid w:val="00532F97"/>
    <w:rsid w:val="005336B5"/>
    <w:rsid w:val="0053397D"/>
    <w:rsid w:val="00533AF2"/>
    <w:rsid w:val="00533C6C"/>
    <w:rsid w:val="00533FE4"/>
    <w:rsid w:val="0053407D"/>
    <w:rsid w:val="00534625"/>
    <w:rsid w:val="00534631"/>
    <w:rsid w:val="00534AB1"/>
    <w:rsid w:val="00534E44"/>
    <w:rsid w:val="005351B1"/>
    <w:rsid w:val="00535492"/>
    <w:rsid w:val="00535561"/>
    <w:rsid w:val="0053559B"/>
    <w:rsid w:val="00535606"/>
    <w:rsid w:val="005356D1"/>
    <w:rsid w:val="005358CF"/>
    <w:rsid w:val="00535BDA"/>
    <w:rsid w:val="00535EBD"/>
    <w:rsid w:val="005363F5"/>
    <w:rsid w:val="00536410"/>
    <w:rsid w:val="005364BB"/>
    <w:rsid w:val="005365E6"/>
    <w:rsid w:val="00536717"/>
    <w:rsid w:val="005369A3"/>
    <w:rsid w:val="00536B57"/>
    <w:rsid w:val="00536CF9"/>
    <w:rsid w:val="00536F78"/>
    <w:rsid w:val="005370A5"/>
    <w:rsid w:val="00537158"/>
    <w:rsid w:val="0053733A"/>
    <w:rsid w:val="005373C5"/>
    <w:rsid w:val="005374B3"/>
    <w:rsid w:val="005376B8"/>
    <w:rsid w:val="005379FF"/>
    <w:rsid w:val="005400CB"/>
    <w:rsid w:val="005404A6"/>
    <w:rsid w:val="00540553"/>
    <w:rsid w:val="0054064D"/>
    <w:rsid w:val="00540757"/>
    <w:rsid w:val="0054096A"/>
    <w:rsid w:val="0054108F"/>
    <w:rsid w:val="005411FB"/>
    <w:rsid w:val="0054123B"/>
    <w:rsid w:val="0054125E"/>
    <w:rsid w:val="00541287"/>
    <w:rsid w:val="0054132D"/>
    <w:rsid w:val="00541542"/>
    <w:rsid w:val="00541698"/>
    <w:rsid w:val="005419D9"/>
    <w:rsid w:val="00541ABA"/>
    <w:rsid w:val="00542018"/>
    <w:rsid w:val="0054223C"/>
    <w:rsid w:val="00542313"/>
    <w:rsid w:val="0054237A"/>
    <w:rsid w:val="0054267C"/>
    <w:rsid w:val="005429CA"/>
    <w:rsid w:val="00542A6A"/>
    <w:rsid w:val="00542ABD"/>
    <w:rsid w:val="00542B40"/>
    <w:rsid w:val="00542C35"/>
    <w:rsid w:val="00542EFE"/>
    <w:rsid w:val="00542FDC"/>
    <w:rsid w:val="00543912"/>
    <w:rsid w:val="00543AEF"/>
    <w:rsid w:val="00543F0C"/>
    <w:rsid w:val="00544049"/>
    <w:rsid w:val="0054412F"/>
    <w:rsid w:val="005443A9"/>
    <w:rsid w:val="0054474D"/>
    <w:rsid w:val="00544807"/>
    <w:rsid w:val="005448FE"/>
    <w:rsid w:val="00544CAE"/>
    <w:rsid w:val="005451B5"/>
    <w:rsid w:val="005452A5"/>
    <w:rsid w:val="005452F3"/>
    <w:rsid w:val="00545A2C"/>
    <w:rsid w:val="00545A89"/>
    <w:rsid w:val="00545ABF"/>
    <w:rsid w:val="00545D83"/>
    <w:rsid w:val="0054623F"/>
    <w:rsid w:val="00546242"/>
    <w:rsid w:val="0054632D"/>
    <w:rsid w:val="00546334"/>
    <w:rsid w:val="005464F4"/>
    <w:rsid w:val="00546583"/>
    <w:rsid w:val="005469ED"/>
    <w:rsid w:val="00546F4E"/>
    <w:rsid w:val="005472FE"/>
    <w:rsid w:val="00547338"/>
    <w:rsid w:val="00547505"/>
    <w:rsid w:val="00547699"/>
    <w:rsid w:val="00547BB4"/>
    <w:rsid w:val="00547C71"/>
    <w:rsid w:val="00547C87"/>
    <w:rsid w:val="00547CF5"/>
    <w:rsid w:val="00547F7C"/>
    <w:rsid w:val="005502D0"/>
    <w:rsid w:val="0055042F"/>
    <w:rsid w:val="0055045C"/>
    <w:rsid w:val="005505B7"/>
    <w:rsid w:val="00550B21"/>
    <w:rsid w:val="00550BC4"/>
    <w:rsid w:val="00550C7C"/>
    <w:rsid w:val="00550F94"/>
    <w:rsid w:val="0055105B"/>
    <w:rsid w:val="005514D8"/>
    <w:rsid w:val="005514DF"/>
    <w:rsid w:val="005515A7"/>
    <w:rsid w:val="00551E23"/>
    <w:rsid w:val="0055202C"/>
    <w:rsid w:val="00552113"/>
    <w:rsid w:val="005521F8"/>
    <w:rsid w:val="00552424"/>
    <w:rsid w:val="00552521"/>
    <w:rsid w:val="005525BF"/>
    <w:rsid w:val="00552808"/>
    <w:rsid w:val="00552834"/>
    <w:rsid w:val="0055288E"/>
    <w:rsid w:val="005528A3"/>
    <w:rsid w:val="00552DEF"/>
    <w:rsid w:val="005532DC"/>
    <w:rsid w:val="005533F4"/>
    <w:rsid w:val="0055374C"/>
    <w:rsid w:val="005538CF"/>
    <w:rsid w:val="00553B4B"/>
    <w:rsid w:val="00553E94"/>
    <w:rsid w:val="00553EB8"/>
    <w:rsid w:val="005540E6"/>
    <w:rsid w:val="005544BF"/>
    <w:rsid w:val="005544C1"/>
    <w:rsid w:val="0055453C"/>
    <w:rsid w:val="00554541"/>
    <w:rsid w:val="0055477D"/>
    <w:rsid w:val="00554CEF"/>
    <w:rsid w:val="00554E42"/>
    <w:rsid w:val="00554FBC"/>
    <w:rsid w:val="00554FBF"/>
    <w:rsid w:val="00554FCA"/>
    <w:rsid w:val="005552C0"/>
    <w:rsid w:val="005554E3"/>
    <w:rsid w:val="005556DD"/>
    <w:rsid w:val="00555B14"/>
    <w:rsid w:val="00555D08"/>
    <w:rsid w:val="00555D30"/>
    <w:rsid w:val="00556187"/>
    <w:rsid w:val="005561F5"/>
    <w:rsid w:val="00556236"/>
    <w:rsid w:val="00556282"/>
    <w:rsid w:val="00556492"/>
    <w:rsid w:val="0055672A"/>
    <w:rsid w:val="0055684B"/>
    <w:rsid w:val="00556B1E"/>
    <w:rsid w:val="00556E0D"/>
    <w:rsid w:val="005570E8"/>
    <w:rsid w:val="00557473"/>
    <w:rsid w:val="0055747D"/>
    <w:rsid w:val="00557544"/>
    <w:rsid w:val="00557A0E"/>
    <w:rsid w:val="00557B40"/>
    <w:rsid w:val="00557B79"/>
    <w:rsid w:val="00557E33"/>
    <w:rsid w:val="00557F10"/>
    <w:rsid w:val="005601E6"/>
    <w:rsid w:val="00560297"/>
    <w:rsid w:val="005607F1"/>
    <w:rsid w:val="00560BD1"/>
    <w:rsid w:val="00560E0E"/>
    <w:rsid w:val="00560E2F"/>
    <w:rsid w:val="00560EA7"/>
    <w:rsid w:val="005611A9"/>
    <w:rsid w:val="0056126D"/>
    <w:rsid w:val="00561373"/>
    <w:rsid w:val="00561A9A"/>
    <w:rsid w:val="00561A9F"/>
    <w:rsid w:val="00561AD2"/>
    <w:rsid w:val="00561BA5"/>
    <w:rsid w:val="00561CF5"/>
    <w:rsid w:val="00561EA5"/>
    <w:rsid w:val="00562091"/>
    <w:rsid w:val="005626EA"/>
    <w:rsid w:val="00562773"/>
    <w:rsid w:val="00562966"/>
    <w:rsid w:val="00562CE4"/>
    <w:rsid w:val="00563481"/>
    <w:rsid w:val="005634A0"/>
    <w:rsid w:val="005635D0"/>
    <w:rsid w:val="00563785"/>
    <w:rsid w:val="00563B5B"/>
    <w:rsid w:val="00563B88"/>
    <w:rsid w:val="00563D4A"/>
    <w:rsid w:val="00563D9A"/>
    <w:rsid w:val="00563E4A"/>
    <w:rsid w:val="00563F18"/>
    <w:rsid w:val="00564330"/>
    <w:rsid w:val="0056447E"/>
    <w:rsid w:val="00564608"/>
    <w:rsid w:val="005647FF"/>
    <w:rsid w:val="00564975"/>
    <w:rsid w:val="00564ECE"/>
    <w:rsid w:val="00564FFE"/>
    <w:rsid w:val="005652E4"/>
    <w:rsid w:val="00565301"/>
    <w:rsid w:val="00565480"/>
    <w:rsid w:val="00565554"/>
    <w:rsid w:val="005658ED"/>
    <w:rsid w:val="005659C4"/>
    <w:rsid w:val="00565AA8"/>
    <w:rsid w:val="00565D37"/>
    <w:rsid w:val="00565D89"/>
    <w:rsid w:val="00565DFF"/>
    <w:rsid w:val="00565E3C"/>
    <w:rsid w:val="00565E4A"/>
    <w:rsid w:val="00565EA4"/>
    <w:rsid w:val="005661FB"/>
    <w:rsid w:val="0056630E"/>
    <w:rsid w:val="0056699F"/>
    <w:rsid w:val="00566C48"/>
    <w:rsid w:val="00566D44"/>
    <w:rsid w:val="005679CC"/>
    <w:rsid w:val="00567A3F"/>
    <w:rsid w:val="00567B9A"/>
    <w:rsid w:val="0057013B"/>
    <w:rsid w:val="005703FA"/>
    <w:rsid w:val="005707A1"/>
    <w:rsid w:val="0057088C"/>
    <w:rsid w:val="00570C8A"/>
    <w:rsid w:val="00570D5D"/>
    <w:rsid w:val="00570EBC"/>
    <w:rsid w:val="005711BB"/>
    <w:rsid w:val="00571337"/>
    <w:rsid w:val="0057133A"/>
    <w:rsid w:val="0057143A"/>
    <w:rsid w:val="0057159A"/>
    <w:rsid w:val="005715BD"/>
    <w:rsid w:val="005715F5"/>
    <w:rsid w:val="005717A0"/>
    <w:rsid w:val="00571818"/>
    <w:rsid w:val="00571C1A"/>
    <w:rsid w:val="00571C69"/>
    <w:rsid w:val="00571FFC"/>
    <w:rsid w:val="00572036"/>
    <w:rsid w:val="0057226D"/>
    <w:rsid w:val="00572ED3"/>
    <w:rsid w:val="00572FB0"/>
    <w:rsid w:val="00572FF1"/>
    <w:rsid w:val="005734A1"/>
    <w:rsid w:val="005737D8"/>
    <w:rsid w:val="005737E8"/>
    <w:rsid w:val="005738CC"/>
    <w:rsid w:val="00573C2D"/>
    <w:rsid w:val="00573C5B"/>
    <w:rsid w:val="00574114"/>
    <w:rsid w:val="00574568"/>
    <w:rsid w:val="00574901"/>
    <w:rsid w:val="00574AD5"/>
    <w:rsid w:val="00574B55"/>
    <w:rsid w:val="00574D2F"/>
    <w:rsid w:val="005752E6"/>
    <w:rsid w:val="0057549D"/>
    <w:rsid w:val="0057577D"/>
    <w:rsid w:val="00575823"/>
    <w:rsid w:val="00575AB4"/>
    <w:rsid w:val="00575AC0"/>
    <w:rsid w:val="00575E04"/>
    <w:rsid w:val="005761E5"/>
    <w:rsid w:val="005762E2"/>
    <w:rsid w:val="0057644B"/>
    <w:rsid w:val="00576889"/>
    <w:rsid w:val="00576EE5"/>
    <w:rsid w:val="00576FCD"/>
    <w:rsid w:val="0057725B"/>
    <w:rsid w:val="00577341"/>
    <w:rsid w:val="00577490"/>
    <w:rsid w:val="00577528"/>
    <w:rsid w:val="00577592"/>
    <w:rsid w:val="00577703"/>
    <w:rsid w:val="00577749"/>
    <w:rsid w:val="005778E7"/>
    <w:rsid w:val="00577CDA"/>
    <w:rsid w:val="00577E69"/>
    <w:rsid w:val="005802E6"/>
    <w:rsid w:val="00580578"/>
    <w:rsid w:val="00580846"/>
    <w:rsid w:val="005809CE"/>
    <w:rsid w:val="00580BA1"/>
    <w:rsid w:val="00580CB6"/>
    <w:rsid w:val="005811D9"/>
    <w:rsid w:val="005812CA"/>
    <w:rsid w:val="00581584"/>
    <w:rsid w:val="005816B9"/>
    <w:rsid w:val="005816CB"/>
    <w:rsid w:val="00581789"/>
    <w:rsid w:val="00581861"/>
    <w:rsid w:val="00581B28"/>
    <w:rsid w:val="00581DF0"/>
    <w:rsid w:val="00581E38"/>
    <w:rsid w:val="00581FE5"/>
    <w:rsid w:val="005820E4"/>
    <w:rsid w:val="005821CD"/>
    <w:rsid w:val="005825E8"/>
    <w:rsid w:val="00582603"/>
    <w:rsid w:val="00582692"/>
    <w:rsid w:val="0058283A"/>
    <w:rsid w:val="00582925"/>
    <w:rsid w:val="00582BEA"/>
    <w:rsid w:val="00582F80"/>
    <w:rsid w:val="0058301F"/>
    <w:rsid w:val="00583505"/>
    <w:rsid w:val="00583507"/>
    <w:rsid w:val="00583586"/>
    <w:rsid w:val="00583C9B"/>
    <w:rsid w:val="00583D57"/>
    <w:rsid w:val="00583D75"/>
    <w:rsid w:val="00583DE5"/>
    <w:rsid w:val="00583FF6"/>
    <w:rsid w:val="005842A9"/>
    <w:rsid w:val="00584860"/>
    <w:rsid w:val="00584A33"/>
    <w:rsid w:val="00584A39"/>
    <w:rsid w:val="00584C8A"/>
    <w:rsid w:val="00584CED"/>
    <w:rsid w:val="00585136"/>
    <w:rsid w:val="0058535C"/>
    <w:rsid w:val="005857C3"/>
    <w:rsid w:val="00585853"/>
    <w:rsid w:val="005858D6"/>
    <w:rsid w:val="00585C90"/>
    <w:rsid w:val="00585DE5"/>
    <w:rsid w:val="00585E47"/>
    <w:rsid w:val="00585EED"/>
    <w:rsid w:val="00586610"/>
    <w:rsid w:val="005866E5"/>
    <w:rsid w:val="005866F6"/>
    <w:rsid w:val="00586761"/>
    <w:rsid w:val="00586A48"/>
    <w:rsid w:val="00587019"/>
    <w:rsid w:val="00587193"/>
    <w:rsid w:val="00587317"/>
    <w:rsid w:val="005878E5"/>
    <w:rsid w:val="00587984"/>
    <w:rsid w:val="005879BB"/>
    <w:rsid w:val="00587A3C"/>
    <w:rsid w:val="0059009A"/>
    <w:rsid w:val="00590210"/>
    <w:rsid w:val="005902AC"/>
    <w:rsid w:val="00590773"/>
    <w:rsid w:val="005907C2"/>
    <w:rsid w:val="00590A33"/>
    <w:rsid w:val="00590B39"/>
    <w:rsid w:val="00590C01"/>
    <w:rsid w:val="005914CA"/>
    <w:rsid w:val="00591CA6"/>
    <w:rsid w:val="00591E15"/>
    <w:rsid w:val="00591F91"/>
    <w:rsid w:val="0059204D"/>
    <w:rsid w:val="005922F0"/>
    <w:rsid w:val="0059239A"/>
    <w:rsid w:val="00592464"/>
    <w:rsid w:val="0059248F"/>
    <w:rsid w:val="00592666"/>
    <w:rsid w:val="0059266E"/>
    <w:rsid w:val="00592A12"/>
    <w:rsid w:val="00592ED5"/>
    <w:rsid w:val="00592F80"/>
    <w:rsid w:val="0059345E"/>
    <w:rsid w:val="0059371F"/>
    <w:rsid w:val="0059374A"/>
    <w:rsid w:val="00593868"/>
    <w:rsid w:val="005938A5"/>
    <w:rsid w:val="00593937"/>
    <w:rsid w:val="00593D0D"/>
    <w:rsid w:val="00593D9D"/>
    <w:rsid w:val="00594023"/>
    <w:rsid w:val="00594383"/>
    <w:rsid w:val="0059453A"/>
    <w:rsid w:val="0059468B"/>
    <w:rsid w:val="005949E0"/>
    <w:rsid w:val="00594C53"/>
    <w:rsid w:val="005965C7"/>
    <w:rsid w:val="0059669E"/>
    <w:rsid w:val="00596A4B"/>
    <w:rsid w:val="00596C86"/>
    <w:rsid w:val="00596EF7"/>
    <w:rsid w:val="00596EFA"/>
    <w:rsid w:val="00596F49"/>
    <w:rsid w:val="005972EF"/>
    <w:rsid w:val="0059778A"/>
    <w:rsid w:val="00597A87"/>
    <w:rsid w:val="00597D8C"/>
    <w:rsid w:val="00597F62"/>
    <w:rsid w:val="005A003E"/>
    <w:rsid w:val="005A0042"/>
    <w:rsid w:val="005A0147"/>
    <w:rsid w:val="005A034B"/>
    <w:rsid w:val="005A064F"/>
    <w:rsid w:val="005A07FD"/>
    <w:rsid w:val="005A099E"/>
    <w:rsid w:val="005A0D90"/>
    <w:rsid w:val="005A0DBC"/>
    <w:rsid w:val="005A0E88"/>
    <w:rsid w:val="005A0EF9"/>
    <w:rsid w:val="005A0F04"/>
    <w:rsid w:val="005A102E"/>
    <w:rsid w:val="005A1557"/>
    <w:rsid w:val="005A167D"/>
    <w:rsid w:val="005A1895"/>
    <w:rsid w:val="005A1A88"/>
    <w:rsid w:val="005A1C40"/>
    <w:rsid w:val="005A2293"/>
    <w:rsid w:val="005A2329"/>
    <w:rsid w:val="005A2442"/>
    <w:rsid w:val="005A2685"/>
    <w:rsid w:val="005A2A8E"/>
    <w:rsid w:val="005A2AD8"/>
    <w:rsid w:val="005A2D12"/>
    <w:rsid w:val="005A31E0"/>
    <w:rsid w:val="005A35B0"/>
    <w:rsid w:val="005A36BE"/>
    <w:rsid w:val="005A37C4"/>
    <w:rsid w:val="005A3B25"/>
    <w:rsid w:val="005A3E2D"/>
    <w:rsid w:val="005A3ED5"/>
    <w:rsid w:val="005A408C"/>
    <w:rsid w:val="005A40C2"/>
    <w:rsid w:val="005A427C"/>
    <w:rsid w:val="005A4361"/>
    <w:rsid w:val="005A4561"/>
    <w:rsid w:val="005A4790"/>
    <w:rsid w:val="005A4B05"/>
    <w:rsid w:val="005A4BB9"/>
    <w:rsid w:val="005A4CD2"/>
    <w:rsid w:val="005A4DF4"/>
    <w:rsid w:val="005A4E4B"/>
    <w:rsid w:val="005A5077"/>
    <w:rsid w:val="005A516E"/>
    <w:rsid w:val="005A5237"/>
    <w:rsid w:val="005A5256"/>
    <w:rsid w:val="005A5418"/>
    <w:rsid w:val="005A5703"/>
    <w:rsid w:val="005A5872"/>
    <w:rsid w:val="005A58C6"/>
    <w:rsid w:val="005A59F0"/>
    <w:rsid w:val="005A655D"/>
    <w:rsid w:val="005A6642"/>
    <w:rsid w:val="005A68AE"/>
    <w:rsid w:val="005A6A96"/>
    <w:rsid w:val="005A6ACB"/>
    <w:rsid w:val="005A6BBF"/>
    <w:rsid w:val="005A6BF1"/>
    <w:rsid w:val="005A6C31"/>
    <w:rsid w:val="005A7492"/>
    <w:rsid w:val="005A7A88"/>
    <w:rsid w:val="005A7D9D"/>
    <w:rsid w:val="005B09A4"/>
    <w:rsid w:val="005B0A39"/>
    <w:rsid w:val="005B0A9B"/>
    <w:rsid w:val="005B0B52"/>
    <w:rsid w:val="005B0BB3"/>
    <w:rsid w:val="005B0E48"/>
    <w:rsid w:val="005B0EF5"/>
    <w:rsid w:val="005B0FAD"/>
    <w:rsid w:val="005B1040"/>
    <w:rsid w:val="005B11EB"/>
    <w:rsid w:val="005B121A"/>
    <w:rsid w:val="005B12CC"/>
    <w:rsid w:val="005B1462"/>
    <w:rsid w:val="005B1487"/>
    <w:rsid w:val="005B1D3E"/>
    <w:rsid w:val="005B2104"/>
    <w:rsid w:val="005B2535"/>
    <w:rsid w:val="005B2685"/>
    <w:rsid w:val="005B26C2"/>
    <w:rsid w:val="005B2945"/>
    <w:rsid w:val="005B294A"/>
    <w:rsid w:val="005B2A5E"/>
    <w:rsid w:val="005B2D5B"/>
    <w:rsid w:val="005B2F08"/>
    <w:rsid w:val="005B304F"/>
    <w:rsid w:val="005B3239"/>
    <w:rsid w:val="005B3336"/>
    <w:rsid w:val="005B33B6"/>
    <w:rsid w:val="005B3752"/>
    <w:rsid w:val="005B39B1"/>
    <w:rsid w:val="005B3B02"/>
    <w:rsid w:val="005B3C2C"/>
    <w:rsid w:val="005B3CA3"/>
    <w:rsid w:val="005B3D83"/>
    <w:rsid w:val="005B3D90"/>
    <w:rsid w:val="005B3DC8"/>
    <w:rsid w:val="005B3EF6"/>
    <w:rsid w:val="005B4057"/>
    <w:rsid w:val="005B432C"/>
    <w:rsid w:val="005B4554"/>
    <w:rsid w:val="005B4837"/>
    <w:rsid w:val="005B4A31"/>
    <w:rsid w:val="005B4BD6"/>
    <w:rsid w:val="005B4EBC"/>
    <w:rsid w:val="005B5783"/>
    <w:rsid w:val="005B5B1B"/>
    <w:rsid w:val="005B5E10"/>
    <w:rsid w:val="005B68ED"/>
    <w:rsid w:val="005B6A1C"/>
    <w:rsid w:val="005B6B23"/>
    <w:rsid w:val="005B6B4D"/>
    <w:rsid w:val="005B6E23"/>
    <w:rsid w:val="005B74FA"/>
    <w:rsid w:val="005B79A8"/>
    <w:rsid w:val="005B7A21"/>
    <w:rsid w:val="005B7F87"/>
    <w:rsid w:val="005B7FCA"/>
    <w:rsid w:val="005C0D02"/>
    <w:rsid w:val="005C0E11"/>
    <w:rsid w:val="005C0EBB"/>
    <w:rsid w:val="005C0FE7"/>
    <w:rsid w:val="005C122C"/>
    <w:rsid w:val="005C1355"/>
    <w:rsid w:val="005C1618"/>
    <w:rsid w:val="005C18B0"/>
    <w:rsid w:val="005C19A4"/>
    <w:rsid w:val="005C1AD9"/>
    <w:rsid w:val="005C1F0D"/>
    <w:rsid w:val="005C2D5C"/>
    <w:rsid w:val="005C2F75"/>
    <w:rsid w:val="005C3F82"/>
    <w:rsid w:val="005C420E"/>
    <w:rsid w:val="005C4236"/>
    <w:rsid w:val="005C43F3"/>
    <w:rsid w:val="005C46EF"/>
    <w:rsid w:val="005C4A1B"/>
    <w:rsid w:val="005C4A53"/>
    <w:rsid w:val="005C4ACE"/>
    <w:rsid w:val="005C4B59"/>
    <w:rsid w:val="005C4CBE"/>
    <w:rsid w:val="005C4CE6"/>
    <w:rsid w:val="005C4DF3"/>
    <w:rsid w:val="005C5269"/>
    <w:rsid w:val="005C5AEF"/>
    <w:rsid w:val="005C63E3"/>
    <w:rsid w:val="005C66E9"/>
    <w:rsid w:val="005C6851"/>
    <w:rsid w:val="005C69B3"/>
    <w:rsid w:val="005C69FA"/>
    <w:rsid w:val="005C6E81"/>
    <w:rsid w:val="005C7079"/>
    <w:rsid w:val="005C7099"/>
    <w:rsid w:val="005C71E1"/>
    <w:rsid w:val="005C7557"/>
    <w:rsid w:val="005C75BA"/>
    <w:rsid w:val="005C767A"/>
    <w:rsid w:val="005C76D6"/>
    <w:rsid w:val="005C76E4"/>
    <w:rsid w:val="005C77DA"/>
    <w:rsid w:val="005C7924"/>
    <w:rsid w:val="005C7D49"/>
    <w:rsid w:val="005C7D4D"/>
    <w:rsid w:val="005C7D75"/>
    <w:rsid w:val="005D0265"/>
    <w:rsid w:val="005D05D4"/>
    <w:rsid w:val="005D060E"/>
    <w:rsid w:val="005D08D5"/>
    <w:rsid w:val="005D0A49"/>
    <w:rsid w:val="005D0A8D"/>
    <w:rsid w:val="005D0C6D"/>
    <w:rsid w:val="005D0D36"/>
    <w:rsid w:val="005D0D3A"/>
    <w:rsid w:val="005D0F66"/>
    <w:rsid w:val="005D1415"/>
    <w:rsid w:val="005D1447"/>
    <w:rsid w:val="005D1679"/>
    <w:rsid w:val="005D1875"/>
    <w:rsid w:val="005D195E"/>
    <w:rsid w:val="005D1B8B"/>
    <w:rsid w:val="005D2340"/>
    <w:rsid w:val="005D2436"/>
    <w:rsid w:val="005D246E"/>
    <w:rsid w:val="005D273C"/>
    <w:rsid w:val="005D28A4"/>
    <w:rsid w:val="005D28D3"/>
    <w:rsid w:val="005D2B03"/>
    <w:rsid w:val="005D2C42"/>
    <w:rsid w:val="005D2DB1"/>
    <w:rsid w:val="005D2E80"/>
    <w:rsid w:val="005D2F06"/>
    <w:rsid w:val="005D31B7"/>
    <w:rsid w:val="005D3432"/>
    <w:rsid w:val="005D34E4"/>
    <w:rsid w:val="005D35A8"/>
    <w:rsid w:val="005D35B3"/>
    <w:rsid w:val="005D37E3"/>
    <w:rsid w:val="005D3A45"/>
    <w:rsid w:val="005D3A6D"/>
    <w:rsid w:val="005D3D14"/>
    <w:rsid w:val="005D3D29"/>
    <w:rsid w:val="005D3D98"/>
    <w:rsid w:val="005D3F17"/>
    <w:rsid w:val="005D4000"/>
    <w:rsid w:val="005D4077"/>
    <w:rsid w:val="005D4119"/>
    <w:rsid w:val="005D4120"/>
    <w:rsid w:val="005D41BD"/>
    <w:rsid w:val="005D41DC"/>
    <w:rsid w:val="005D4478"/>
    <w:rsid w:val="005D4695"/>
    <w:rsid w:val="005D484B"/>
    <w:rsid w:val="005D48B1"/>
    <w:rsid w:val="005D4AD0"/>
    <w:rsid w:val="005D4EE7"/>
    <w:rsid w:val="005D4FE0"/>
    <w:rsid w:val="005D53BD"/>
    <w:rsid w:val="005D559D"/>
    <w:rsid w:val="005D56B2"/>
    <w:rsid w:val="005D5774"/>
    <w:rsid w:val="005D5982"/>
    <w:rsid w:val="005D5CB6"/>
    <w:rsid w:val="005D5D8F"/>
    <w:rsid w:val="005D5FD4"/>
    <w:rsid w:val="005D6473"/>
    <w:rsid w:val="005D6827"/>
    <w:rsid w:val="005D690E"/>
    <w:rsid w:val="005D6956"/>
    <w:rsid w:val="005D6A71"/>
    <w:rsid w:val="005D6D38"/>
    <w:rsid w:val="005D6F8F"/>
    <w:rsid w:val="005D702B"/>
    <w:rsid w:val="005D7139"/>
    <w:rsid w:val="005D7602"/>
    <w:rsid w:val="005D781F"/>
    <w:rsid w:val="005D797E"/>
    <w:rsid w:val="005D7D9D"/>
    <w:rsid w:val="005D7EAB"/>
    <w:rsid w:val="005E04E9"/>
    <w:rsid w:val="005E071C"/>
    <w:rsid w:val="005E073A"/>
    <w:rsid w:val="005E0832"/>
    <w:rsid w:val="005E0891"/>
    <w:rsid w:val="005E0D85"/>
    <w:rsid w:val="005E0FD0"/>
    <w:rsid w:val="005E120A"/>
    <w:rsid w:val="005E12EC"/>
    <w:rsid w:val="005E1347"/>
    <w:rsid w:val="005E1598"/>
    <w:rsid w:val="005E1765"/>
    <w:rsid w:val="005E1B42"/>
    <w:rsid w:val="005E207B"/>
    <w:rsid w:val="005E241F"/>
    <w:rsid w:val="005E2657"/>
    <w:rsid w:val="005E2A73"/>
    <w:rsid w:val="005E2E8A"/>
    <w:rsid w:val="005E2EDF"/>
    <w:rsid w:val="005E2F7B"/>
    <w:rsid w:val="005E33E2"/>
    <w:rsid w:val="005E36F7"/>
    <w:rsid w:val="005E3B9B"/>
    <w:rsid w:val="005E3C34"/>
    <w:rsid w:val="005E427F"/>
    <w:rsid w:val="005E448F"/>
    <w:rsid w:val="005E4554"/>
    <w:rsid w:val="005E457E"/>
    <w:rsid w:val="005E460C"/>
    <w:rsid w:val="005E475F"/>
    <w:rsid w:val="005E4890"/>
    <w:rsid w:val="005E48EC"/>
    <w:rsid w:val="005E4B17"/>
    <w:rsid w:val="005E4B3D"/>
    <w:rsid w:val="005E4F05"/>
    <w:rsid w:val="005E50ED"/>
    <w:rsid w:val="005E5561"/>
    <w:rsid w:val="005E58A6"/>
    <w:rsid w:val="005E5940"/>
    <w:rsid w:val="005E59B6"/>
    <w:rsid w:val="005E5A0F"/>
    <w:rsid w:val="005E6175"/>
    <w:rsid w:val="005E61E2"/>
    <w:rsid w:val="005E6319"/>
    <w:rsid w:val="005E67AC"/>
    <w:rsid w:val="005E67FE"/>
    <w:rsid w:val="005E690B"/>
    <w:rsid w:val="005E6924"/>
    <w:rsid w:val="005E6C40"/>
    <w:rsid w:val="005E729E"/>
    <w:rsid w:val="005E72EA"/>
    <w:rsid w:val="005E739F"/>
    <w:rsid w:val="005E7678"/>
    <w:rsid w:val="005E7991"/>
    <w:rsid w:val="005E7A53"/>
    <w:rsid w:val="005E7B9A"/>
    <w:rsid w:val="005E7BF7"/>
    <w:rsid w:val="005E7D16"/>
    <w:rsid w:val="005F0008"/>
    <w:rsid w:val="005F0159"/>
    <w:rsid w:val="005F0A27"/>
    <w:rsid w:val="005F0B41"/>
    <w:rsid w:val="005F0CBE"/>
    <w:rsid w:val="005F0E27"/>
    <w:rsid w:val="005F1238"/>
    <w:rsid w:val="005F1342"/>
    <w:rsid w:val="005F138C"/>
    <w:rsid w:val="005F1556"/>
    <w:rsid w:val="005F17DD"/>
    <w:rsid w:val="005F19D5"/>
    <w:rsid w:val="005F1E6C"/>
    <w:rsid w:val="005F2058"/>
    <w:rsid w:val="005F2146"/>
    <w:rsid w:val="005F2394"/>
    <w:rsid w:val="005F26B8"/>
    <w:rsid w:val="005F2785"/>
    <w:rsid w:val="005F290F"/>
    <w:rsid w:val="005F2A10"/>
    <w:rsid w:val="005F2C2E"/>
    <w:rsid w:val="005F329D"/>
    <w:rsid w:val="005F330F"/>
    <w:rsid w:val="005F353B"/>
    <w:rsid w:val="005F3594"/>
    <w:rsid w:val="005F3BE9"/>
    <w:rsid w:val="005F42BB"/>
    <w:rsid w:val="005F4451"/>
    <w:rsid w:val="005F45A0"/>
    <w:rsid w:val="005F46E9"/>
    <w:rsid w:val="005F49B0"/>
    <w:rsid w:val="005F4B66"/>
    <w:rsid w:val="005F529C"/>
    <w:rsid w:val="005F52B7"/>
    <w:rsid w:val="005F53A4"/>
    <w:rsid w:val="005F5689"/>
    <w:rsid w:val="005F56FA"/>
    <w:rsid w:val="005F5A87"/>
    <w:rsid w:val="005F5C84"/>
    <w:rsid w:val="005F5D6B"/>
    <w:rsid w:val="005F5EBE"/>
    <w:rsid w:val="005F5EDE"/>
    <w:rsid w:val="005F5F39"/>
    <w:rsid w:val="005F6192"/>
    <w:rsid w:val="005F6254"/>
    <w:rsid w:val="005F62B2"/>
    <w:rsid w:val="005F630D"/>
    <w:rsid w:val="005F6463"/>
    <w:rsid w:val="005F6567"/>
    <w:rsid w:val="005F68FC"/>
    <w:rsid w:val="005F696B"/>
    <w:rsid w:val="005F6C54"/>
    <w:rsid w:val="005F6CB2"/>
    <w:rsid w:val="005F70EB"/>
    <w:rsid w:val="005F715C"/>
    <w:rsid w:val="005F7563"/>
    <w:rsid w:val="005F784D"/>
    <w:rsid w:val="005F789D"/>
    <w:rsid w:val="005F7929"/>
    <w:rsid w:val="005F7AB1"/>
    <w:rsid w:val="005F7AC8"/>
    <w:rsid w:val="005F7E11"/>
    <w:rsid w:val="005F7E4C"/>
    <w:rsid w:val="005F7F00"/>
    <w:rsid w:val="005F7FDA"/>
    <w:rsid w:val="0060011B"/>
    <w:rsid w:val="0060012C"/>
    <w:rsid w:val="0060036F"/>
    <w:rsid w:val="00600630"/>
    <w:rsid w:val="00600809"/>
    <w:rsid w:val="006009EE"/>
    <w:rsid w:val="00600BED"/>
    <w:rsid w:val="00600CB1"/>
    <w:rsid w:val="006013E5"/>
    <w:rsid w:val="006017A3"/>
    <w:rsid w:val="00601F94"/>
    <w:rsid w:val="00602016"/>
    <w:rsid w:val="0060207B"/>
    <w:rsid w:val="006023CA"/>
    <w:rsid w:val="006028E9"/>
    <w:rsid w:val="0060290C"/>
    <w:rsid w:val="00602E48"/>
    <w:rsid w:val="00602F20"/>
    <w:rsid w:val="00603006"/>
    <w:rsid w:val="006031FB"/>
    <w:rsid w:val="0060326E"/>
    <w:rsid w:val="006032DC"/>
    <w:rsid w:val="006035CE"/>
    <w:rsid w:val="00603A56"/>
    <w:rsid w:val="006046EA"/>
    <w:rsid w:val="006046F4"/>
    <w:rsid w:val="00604983"/>
    <w:rsid w:val="006049A5"/>
    <w:rsid w:val="00604FA1"/>
    <w:rsid w:val="00604FCA"/>
    <w:rsid w:val="00605101"/>
    <w:rsid w:val="0060513C"/>
    <w:rsid w:val="0060528C"/>
    <w:rsid w:val="00605A2A"/>
    <w:rsid w:val="00605A94"/>
    <w:rsid w:val="00605AD7"/>
    <w:rsid w:val="00605E5D"/>
    <w:rsid w:val="00605EF9"/>
    <w:rsid w:val="00605F02"/>
    <w:rsid w:val="0060609C"/>
    <w:rsid w:val="00606406"/>
    <w:rsid w:val="006069A7"/>
    <w:rsid w:val="00606A4C"/>
    <w:rsid w:val="00606BCC"/>
    <w:rsid w:val="00606D35"/>
    <w:rsid w:val="00606E55"/>
    <w:rsid w:val="00606F5F"/>
    <w:rsid w:val="00606FFA"/>
    <w:rsid w:val="00607013"/>
    <w:rsid w:val="00607265"/>
    <w:rsid w:val="00607324"/>
    <w:rsid w:val="00607371"/>
    <w:rsid w:val="006073E0"/>
    <w:rsid w:val="00607BA6"/>
    <w:rsid w:val="00607CD3"/>
    <w:rsid w:val="00607D6E"/>
    <w:rsid w:val="0061031B"/>
    <w:rsid w:val="0061053A"/>
    <w:rsid w:val="006107A4"/>
    <w:rsid w:val="00610ADC"/>
    <w:rsid w:val="00610B77"/>
    <w:rsid w:val="00610F42"/>
    <w:rsid w:val="00610FCF"/>
    <w:rsid w:val="0061108C"/>
    <w:rsid w:val="006111AC"/>
    <w:rsid w:val="00611213"/>
    <w:rsid w:val="0061121D"/>
    <w:rsid w:val="00611358"/>
    <w:rsid w:val="006115A8"/>
    <w:rsid w:val="00611933"/>
    <w:rsid w:val="0061199E"/>
    <w:rsid w:val="00611F2D"/>
    <w:rsid w:val="00611F77"/>
    <w:rsid w:val="006121FC"/>
    <w:rsid w:val="006124E0"/>
    <w:rsid w:val="006127EE"/>
    <w:rsid w:val="00612A89"/>
    <w:rsid w:val="00612AA6"/>
    <w:rsid w:val="00612C3F"/>
    <w:rsid w:val="00612DFE"/>
    <w:rsid w:val="0061316D"/>
    <w:rsid w:val="00613537"/>
    <w:rsid w:val="00613588"/>
    <w:rsid w:val="006135EB"/>
    <w:rsid w:val="006136E5"/>
    <w:rsid w:val="00613873"/>
    <w:rsid w:val="006138F0"/>
    <w:rsid w:val="00613A50"/>
    <w:rsid w:val="00613A7F"/>
    <w:rsid w:val="00613E47"/>
    <w:rsid w:val="00613EFD"/>
    <w:rsid w:val="00613FA3"/>
    <w:rsid w:val="00614B71"/>
    <w:rsid w:val="00614C36"/>
    <w:rsid w:val="00614EC2"/>
    <w:rsid w:val="00615067"/>
    <w:rsid w:val="00615346"/>
    <w:rsid w:val="006154DF"/>
    <w:rsid w:val="0061569B"/>
    <w:rsid w:val="006158E9"/>
    <w:rsid w:val="00615C0E"/>
    <w:rsid w:val="00615CB1"/>
    <w:rsid w:val="00615D7E"/>
    <w:rsid w:val="00615D96"/>
    <w:rsid w:val="00615FF0"/>
    <w:rsid w:val="0061601E"/>
    <w:rsid w:val="006160B7"/>
    <w:rsid w:val="006160C3"/>
    <w:rsid w:val="006161AE"/>
    <w:rsid w:val="00616743"/>
    <w:rsid w:val="00616E47"/>
    <w:rsid w:val="00616E57"/>
    <w:rsid w:val="00616F41"/>
    <w:rsid w:val="00616F4D"/>
    <w:rsid w:val="0061710F"/>
    <w:rsid w:val="00617876"/>
    <w:rsid w:val="00617D24"/>
    <w:rsid w:val="00617E3B"/>
    <w:rsid w:val="00617F8F"/>
    <w:rsid w:val="0062012E"/>
    <w:rsid w:val="00620231"/>
    <w:rsid w:val="0062029E"/>
    <w:rsid w:val="006203BD"/>
    <w:rsid w:val="0062040E"/>
    <w:rsid w:val="006204D1"/>
    <w:rsid w:val="0062052B"/>
    <w:rsid w:val="0062057D"/>
    <w:rsid w:val="006207C6"/>
    <w:rsid w:val="0062088B"/>
    <w:rsid w:val="00620917"/>
    <w:rsid w:val="00620A22"/>
    <w:rsid w:val="00620F45"/>
    <w:rsid w:val="00620FEE"/>
    <w:rsid w:val="00620FEF"/>
    <w:rsid w:val="00621199"/>
    <w:rsid w:val="006218D9"/>
    <w:rsid w:val="00621A22"/>
    <w:rsid w:val="00621B8B"/>
    <w:rsid w:val="00621BA4"/>
    <w:rsid w:val="00621FD1"/>
    <w:rsid w:val="006221C3"/>
    <w:rsid w:val="006221C7"/>
    <w:rsid w:val="0062221E"/>
    <w:rsid w:val="006222FF"/>
    <w:rsid w:val="00622470"/>
    <w:rsid w:val="00622521"/>
    <w:rsid w:val="0062252A"/>
    <w:rsid w:val="0062265B"/>
    <w:rsid w:val="0062278C"/>
    <w:rsid w:val="00622ACB"/>
    <w:rsid w:val="00622BCA"/>
    <w:rsid w:val="00622BE9"/>
    <w:rsid w:val="00622D79"/>
    <w:rsid w:val="00622F00"/>
    <w:rsid w:val="00623020"/>
    <w:rsid w:val="00623036"/>
    <w:rsid w:val="0062303B"/>
    <w:rsid w:val="006231E6"/>
    <w:rsid w:val="00623305"/>
    <w:rsid w:val="0062398F"/>
    <w:rsid w:val="00623A25"/>
    <w:rsid w:val="00624043"/>
    <w:rsid w:val="00624182"/>
    <w:rsid w:val="006242B1"/>
    <w:rsid w:val="006242C5"/>
    <w:rsid w:val="0062450D"/>
    <w:rsid w:val="006246A6"/>
    <w:rsid w:val="006249FB"/>
    <w:rsid w:val="00624A9B"/>
    <w:rsid w:val="00624B79"/>
    <w:rsid w:val="00624C9E"/>
    <w:rsid w:val="00624D70"/>
    <w:rsid w:val="00624E2C"/>
    <w:rsid w:val="00624EFD"/>
    <w:rsid w:val="00624F37"/>
    <w:rsid w:val="00624FE4"/>
    <w:rsid w:val="00625194"/>
    <w:rsid w:val="00625541"/>
    <w:rsid w:val="0062562B"/>
    <w:rsid w:val="00625A74"/>
    <w:rsid w:val="00625A80"/>
    <w:rsid w:val="00625B9A"/>
    <w:rsid w:val="00625D11"/>
    <w:rsid w:val="00625D39"/>
    <w:rsid w:val="00625DA1"/>
    <w:rsid w:val="00625DF2"/>
    <w:rsid w:val="00625F91"/>
    <w:rsid w:val="00626097"/>
    <w:rsid w:val="00626128"/>
    <w:rsid w:val="0062637C"/>
    <w:rsid w:val="00626948"/>
    <w:rsid w:val="00626D66"/>
    <w:rsid w:val="00626E6E"/>
    <w:rsid w:val="00627074"/>
    <w:rsid w:val="00627167"/>
    <w:rsid w:val="0062720C"/>
    <w:rsid w:val="00627295"/>
    <w:rsid w:val="0062757C"/>
    <w:rsid w:val="00627E0A"/>
    <w:rsid w:val="00627E4E"/>
    <w:rsid w:val="00627F23"/>
    <w:rsid w:val="00627F57"/>
    <w:rsid w:val="00627F6D"/>
    <w:rsid w:val="00630146"/>
    <w:rsid w:val="00630271"/>
    <w:rsid w:val="0063037D"/>
    <w:rsid w:val="00630867"/>
    <w:rsid w:val="006308EE"/>
    <w:rsid w:val="00630B95"/>
    <w:rsid w:val="00630C93"/>
    <w:rsid w:val="00630D71"/>
    <w:rsid w:val="00630DA7"/>
    <w:rsid w:val="00630DE5"/>
    <w:rsid w:val="00630F44"/>
    <w:rsid w:val="00630F7B"/>
    <w:rsid w:val="00630FE2"/>
    <w:rsid w:val="006311C9"/>
    <w:rsid w:val="0063125C"/>
    <w:rsid w:val="00631479"/>
    <w:rsid w:val="00631496"/>
    <w:rsid w:val="00631B89"/>
    <w:rsid w:val="00631B9E"/>
    <w:rsid w:val="00631F92"/>
    <w:rsid w:val="006321EB"/>
    <w:rsid w:val="00632C01"/>
    <w:rsid w:val="00633517"/>
    <w:rsid w:val="00633584"/>
    <w:rsid w:val="006335C9"/>
    <w:rsid w:val="0063391E"/>
    <w:rsid w:val="00633CB3"/>
    <w:rsid w:val="00633CEE"/>
    <w:rsid w:val="00633CFC"/>
    <w:rsid w:val="00634398"/>
    <w:rsid w:val="0063483E"/>
    <w:rsid w:val="006349C1"/>
    <w:rsid w:val="00635409"/>
    <w:rsid w:val="006357F2"/>
    <w:rsid w:val="0063594D"/>
    <w:rsid w:val="00635BA0"/>
    <w:rsid w:val="00635DF2"/>
    <w:rsid w:val="00635EEB"/>
    <w:rsid w:val="00636286"/>
    <w:rsid w:val="006364F4"/>
    <w:rsid w:val="00636568"/>
    <w:rsid w:val="0063696B"/>
    <w:rsid w:val="00636AC8"/>
    <w:rsid w:val="00636B47"/>
    <w:rsid w:val="00636C14"/>
    <w:rsid w:val="00637229"/>
    <w:rsid w:val="006372D6"/>
    <w:rsid w:val="00637933"/>
    <w:rsid w:val="00637C17"/>
    <w:rsid w:val="00637F9B"/>
    <w:rsid w:val="00637FD3"/>
    <w:rsid w:val="0064007F"/>
    <w:rsid w:val="00640089"/>
    <w:rsid w:val="0064011A"/>
    <w:rsid w:val="006401E8"/>
    <w:rsid w:val="0064021F"/>
    <w:rsid w:val="0064043F"/>
    <w:rsid w:val="00640477"/>
    <w:rsid w:val="006404F1"/>
    <w:rsid w:val="00640864"/>
    <w:rsid w:val="006408BF"/>
    <w:rsid w:val="006409E2"/>
    <w:rsid w:val="00640D7D"/>
    <w:rsid w:val="00640E4F"/>
    <w:rsid w:val="006410E2"/>
    <w:rsid w:val="00641551"/>
    <w:rsid w:val="00641694"/>
    <w:rsid w:val="00641B47"/>
    <w:rsid w:val="00641CD0"/>
    <w:rsid w:val="0064230E"/>
    <w:rsid w:val="006425B1"/>
    <w:rsid w:val="0064261A"/>
    <w:rsid w:val="00642670"/>
    <w:rsid w:val="00642A6F"/>
    <w:rsid w:val="00642CDF"/>
    <w:rsid w:val="0064357F"/>
    <w:rsid w:val="0064373F"/>
    <w:rsid w:val="006438E9"/>
    <w:rsid w:val="0064396B"/>
    <w:rsid w:val="00643B30"/>
    <w:rsid w:val="00643D95"/>
    <w:rsid w:val="00643DD0"/>
    <w:rsid w:val="00643F7E"/>
    <w:rsid w:val="006440C5"/>
    <w:rsid w:val="00644158"/>
    <w:rsid w:val="0064416D"/>
    <w:rsid w:val="00644EDE"/>
    <w:rsid w:val="00644FB7"/>
    <w:rsid w:val="00644FD5"/>
    <w:rsid w:val="00645044"/>
    <w:rsid w:val="006451B6"/>
    <w:rsid w:val="00645262"/>
    <w:rsid w:val="006452AE"/>
    <w:rsid w:val="00645414"/>
    <w:rsid w:val="006454F9"/>
    <w:rsid w:val="006458A6"/>
    <w:rsid w:val="00645C76"/>
    <w:rsid w:val="00645D35"/>
    <w:rsid w:val="00645E78"/>
    <w:rsid w:val="006463A0"/>
    <w:rsid w:val="006464A5"/>
    <w:rsid w:val="00646610"/>
    <w:rsid w:val="006466B7"/>
    <w:rsid w:val="00646780"/>
    <w:rsid w:val="00646B6C"/>
    <w:rsid w:val="00646F84"/>
    <w:rsid w:val="0064730D"/>
    <w:rsid w:val="00647425"/>
    <w:rsid w:val="00647455"/>
    <w:rsid w:val="00647777"/>
    <w:rsid w:val="0064788D"/>
    <w:rsid w:val="006479A3"/>
    <w:rsid w:val="006479CB"/>
    <w:rsid w:val="00647A65"/>
    <w:rsid w:val="00647BAD"/>
    <w:rsid w:val="00647CCA"/>
    <w:rsid w:val="00647FEB"/>
    <w:rsid w:val="0065026E"/>
    <w:rsid w:val="00650B4B"/>
    <w:rsid w:val="00650D98"/>
    <w:rsid w:val="00651069"/>
    <w:rsid w:val="0065140C"/>
    <w:rsid w:val="006514FD"/>
    <w:rsid w:val="006515F2"/>
    <w:rsid w:val="00651973"/>
    <w:rsid w:val="00651A70"/>
    <w:rsid w:val="00651C1E"/>
    <w:rsid w:val="00652324"/>
    <w:rsid w:val="00652487"/>
    <w:rsid w:val="00652635"/>
    <w:rsid w:val="006529E0"/>
    <w:rsid w:val="00653274"/>
    <w:rsid w:val="0065366F"/>
    <w:rsid w:val="00653CB9"/>
    <w:rsid w:val="00653E80"/>
    <w:rsid w:val="00653ECB"/>
    <w:rsid w:val="0065404A"/>
    <w:rsid w:val="0065416D"/>
    <w:rsid w:val="00654187"/>
    <w:rsid w:val="00654531"/>
    <w:rsid w:val="006545CF"/>
    <w:rsid w:val="006546B6"/>
    <w:rsid w:val="006547C6"/>
    <w:rsid w:val="00654A5F"/>
    <w:rsid w:val="00654CE7"/>
    <w:rsid w:val="00654D46"/>
    <w:rsid w:val="00654DA8"/>
    <w:rsid w:val="00654E7D"/>
    <w:rsid w:val="00654F0C"/>
    <w:rsid w:val="00655119"/>
    <w:rsid w:val="00655555"/>
    <w:rsid w:val="006556DB"/>
    <w:rsid w:val="0065595F"/>
    <w:rsid w:val="00655D1F"/>
    <w:rsid w:val="00655D89"/>
    <w:rsid w:val="00655E06"/>
    <w:rsid w:val="00655F6E"/>
    <w:rsid w:val="00655F84"/>
    <w:rsid w:val="0065606C"/>
    <w:rsid w:val="006561DC"/>
    <w:rsid w:val="006561E3"/>
    <w:rsid w:val="0065639D"/>
    <w:rsid w:val="006568ED"/>
    <w:rsid w:val="00656967"/>
    <w:rsid w:val="00656A17"/>
    <w:rsid w:val="00656B45"/>
    <w:rsid w:val="00656B9E"/>
    <w:rsid w:val="00656D44"/>
    <w:rsid w:val="00656E52"/>
    <w:rsid w:val="00657237"/>
    <w:rsid w:val="0065793A"/>
    <w:rsid w:val="00657C43"/>
    <w:rsid w:val="00657C67"/>
    <w:rsid w:val="006600F9"/>
    <w:rsid w:val="00660298"/>
    <w:rsid w:val="006604FE"/>
    <w:rsid w:val="00660558"/>
    <w:rsid w:val="00660A43"/>
    <w:rsid w:val="00660AA3"/>
    <w:rsid w:val="00660D92"/>
    <w:rsid w:val="00661440"/>
    <w:rsid w:val="0066146C"/>
    <w:rsid w:val="00661585"/>
    <w:rsid w:val="006617B6"/>
    <w:rsid w:val="00661AB9"/>
    <w:rsid w:val="00661AE5"/>
    <w:rsid w:val="00661B78"/>
    <w:rsid w:val="00661DCF"/>
    <w:rsid w:val="00661E03"/>
    <w:rsid w:val="00661F31"/>
    <w:rsid w:val="006621C4"/>
    <w:rsid w:val="00662424"/>
    <w:rsid w:val="00662547"/>
    <w:rsid w:val="00662ADF"/>
    <w:rsid w:val="00662BEF"/>
    <w:rsid w:val="00662C45"/>
    <w:rsid w:val="00662DEA"/>
    <w:rsid w:val="00663448"/>
    <w:rsid w:val="006634C2"/>
    <w:rsid w:val="006636CD"/>
    <w:rsid w:val="00663797"/>
    <w:rsid w:val="00663B70"/>
    <w:rsid w:val="00663F82"/>
    <w:rsid w:val="00663FB9"/>
    <w:rsid w:val="006640FE"/>
    <w:rsid w:val="00664175"/>
    <w:rsid w:val="00664285"/>
    <w:rsid w:val="0066481C"/>
    <w:rsid w:val="00664E90"/>
    <w:rsid w:val="00665256"/>
    <w:rsid w:val="006654D1"/>
    <w:rsid w:val="0066562F"/>
    <w:rsid w:val="0066573F"/>
    <w:rsid w:val="0066580E"/>
    <w:rsid w:val="00665837"/>
    <w:rsid w:val="0066589B"/>
    <w:rsid w:val="00665B4F"/>
    <w:rsid w:val="00665EF2"/>
    <w:rsid w:val="00665EFB"/>
    <w:rsid w:val="00665FF7"/>
    <w:rsid w:val="006665CF"/>
    <w:rsid w:val="00666C08"/>
    <w:rsid w:val="00666D33"/>
    <w:rsid w:val="006670E4"/>
    <w:rsid w:val="006671A5"/>
    <w:rsid w:val="00667221"/>
    <w:rsid w:val="006672C6"/>
    <w:rsid w:val="006674C9"/>
    <w:rsid w:val="00667520"/>
    <w:rsid w:val="00667886"/>
    <w:rsid w:val="006678C2"/>
    <w:rsid w:val="00667E25"/>
    <w:rsid w:val="00670258"/>
    <w:rsid w:val="00670359"/>
    <w:rsid w:val="0067081D"/>
    <w:rsid w:val="006709EF"/>
    <w:rsid w:val="006709FC"/>
    <w:rsid w:val="00670C08"/>
    <w:rsid w:val="00670D61"/>
    <w:rsid w:val="00670ED6"/>
    <w:rsid w:val="00670F5F"/>
    <w:rsid w:val="006711F5"/>
    <w:rsid w:val="00671256"/>
    <w:rsid w:val="00671748"/>
    <w:rsid w:val="006719EC"/>
    <w:rsid w:val="00671A83"/>
    <w:rsid w:val="00671FA2"/>
    <w:rsid w:val="006720DB"/>
    <w:rsid w:val="006721A9"/>
    <w:rsid w:val="00672357"/>
    <w:rsid w:val="00672A0D"/>
    <w:rsid w:val="00672A53"/>
    <w:rsid w:val="00672B6C"/>
    <w:rsid w:val="00672E31"/>
    <w:rsid w:val="00672E8C"/>
    <w:rsid w:val="006730B9"/>
    <w:rsid w:val="0067311C"/>
    <w:rsid w:val="0067344D"/>
    <w:rsid w:val="00673658"/>
    <w:rsid w:val="00673C98"/>
    <w:rsid w:val="006740D8"/>
    <w:rsid w:val="00674100"/>
    <w:rsid w:val="0067432B"/>
    <w:rsid w:val="00674449"/>
    <w:rsid w:val="00674514"/>
    <w:rsid w:val="00674673"/>
    <w:rsid w:val="00674BCC"/>
    <w:rsid w:val="00674D82"/>
    <w:rsid w:val="00675542"/>
    <w:rsid w:val="0067561C"/>
    <w:rsid w:val="0067574A"/>
    <w:rsid w:val="00675865"/>
    <w:rsid w:val="00675AA5"/>
    <w:rsid w:val="00675ABA"/>
    <w:rsid w:val="00675BDB"/>
    <w:rsid w:val="00675EE8"/>
    <w:rsid w:val="0067625A"/>
    <w:rsid w:val="006762BA"/>
    <w:rsid w:val="006768C9"/>
    <w:rsid w:val="00676FEB"/>
    <w:rsid w:val="00677055"/>
    <w:rsid w:val="00677187"/>
    <w:rsid w:val="0067729F"/>
    <w:rsid w:val="006773BA"/>
    <w:rsid w:val="00677573"/>
    <w:rsid w:val="0067765A"/>
    <w:rsid w:val="00677881"/>
    <w:rsid w:val="00677988"/>
    <w:rsid w:val="00677AE1"/>
    <w:rsid w:val="00677C11"/>
    <w:rsid w:val="00677CB1"/>
    <w:rsid w:val="00680211"/>
    <w:rsid w:val="006807FA"/>
    <w:rsid w:val="0068093F"/>
    <w:rsid w:val="00680A1C"/>
    <w:rsid w:val="00680A3E"/>
    <w:rsid w:val="00680EF6"/>
    <w:rsid w:val="00681103"/>
    <w:rsid w:val="00681267"/>
    <w:rsid w:val="00681381"/>
    <w:rsid w:val="00681999"/>
    <w:rsid w:val="00681B59"/>
    <w:rsid w:val="00682058"/>
    <w:rsid w:val="0068209B"/>
    <w:rsid w:val="00682194"/>
    <w:rsid w:val="00682361"/>
    <w:rsid w:val="00682413"/>
    <w:rsid w:val="00682658"/>
    <w:rsid w:val="00682845"/>
    <w:rsid w:val="006828D6"/>
    <w:rsid w:val="006829D0"/>
    <w:rsid w:val="00682C0D"/>
    <w:rsid w:val="00682DE5"/>
    <w:rsid w:val="00682DE8"/>
    <w:rsid w:val="0068310E"/>
    <w:rsid w:val="006833E2"/>
    <w:rsid w:val="00683426"/>
    <w:rsid w:val="0068347B"/>
    <w:rsid w:val="00683509"/>
    <w:rsid w:val="00683845"/>
    <w:rsid w:val="00683B50"/>
    <w:rsid w:val="0068407A"/>
    <w:rsid w:val="006841DC"/>
    <w:rsid w:val="0068420F"/>
    <w:rsid w:val="0068432B"/>
    <w:rsid w:val="00684A8A"/>
    <w:rsid w:val="00684C8F"/>
    <w:rsid w:val="00684DB8"/>
    <w:rsid w:val="00684DDA"/>
    <w:rsid w:val="006852A5"/>
    <w:rsid w:val="00685864"/>
    <w:rsid w:val="006858E8"/>
    <w:rsid w:val="006858F7"/>
    <w:rsid w:val="00685945"/>
    <w:rsid w:val="006859A1"/>
    <w:rsid w:val="00685B87"/>
    <w:rsid w:val="00685B8B"/>
    <w:rsid w:val="00685E20"/>
    <w:rsid w:val="006861A5"/>
    <w:rsid w:val="00686431"/>
    <w:rsid w:val="006864AD"/>
    <w:rsid w:val="00686783"/>
    <w:rsid w:val="00686D0C"/>
    <w:rsid w:val="0068701A"/>
    <w:rsid w:val="0068704F"/>
    <w:rsid w:val="006872E7"/>
    <w:rsid w:val="0068746A"/>
    <w:rsid w:val="00687823"/>
    <w:rsid w:val="00687B42"/>
    <w:rsid w:val="00690079"/>
    <w:rsid w:val="00690098"/>
    <w:rsid w:val="00690153"/>
    <w:rsid w:val="006901DA"/>
    <w:rsid w:val="00690205"/>
    <w:rsid w:val="006902B8"/>
    <w:rsid w:val="00690875"/>
    <w:rsid w:val="006909FE"/>
    <w:rsid w:val="00690C27"/>
    <w:rsid w:val="00690C82"/>
    <w:rsid w:val="00690F2C"/>
    <w:rsid w:val="00691687"/>
    <w:rsid w:val="006916D7"/>
    <w:rsid w:val="0069187A"/>
    <w:rsid w:val="00691C43"/>
    <w:rsid w:val="00691D43"/>
    <w:rsid w:val="00691E58"/>
    <w:rsid w:val="0069215A"/>
    <w:rsid w:val="006924B5"/>
    <w:rsid w:val="006924E2"/>
    <w:rsid w:val="0069260B"/>
    <w:rsid w:val="006926B7"/>
    <w:rsid w:val="00692916"/>
    <w:rsid w:val="00692919"/>
    <w:rsid w:val="00692AFA"/>
    <w:rsid w:val="00692FA5"/>
    <w:rsid w:val="00693044"/>
    <w:rsid w:val="006931B7"/>
    <w:rsid w:val="0069331B"/>
    <w:rsid w:val="00693364"/>
    <w:rsid w:val="0069340D"/>
    <w:rsid w:val="00693B3F"/>
    <w:rsid w:val="00693F79"/>
    <w:rsid w:val="006944FD"/>
    <w:rsid w:val="006950F7"/>
    <w:rsid w:val="006954BF"/>
    <w:rsid w:val="00695669"/>
    <w:rsid w:val="00695692"/>
    <w:rsid w:val="00695A46"/>
    <w:rsid w:val="00695BFE"/>
    <w:rsid w:val="00696387"/>
    <w:rsid w:val="00696804"/>
    <w:rsid w:val="006968DA"/>
    <w:rsid w:val="00696FC4"/>
    <w:rsid w:val="0069717A"/>
    <w:rsid w:val="00697275"/>
    <w:rsid w:val="0069736A"/>
    <w:rsid w:val="00697A57"/>
    <w:rsid w:val="00697E8C"/>
    <w:rsid w:val="006A0546"/>
    <w:rsid w:val="006A0576"/>
    <w:rsid w:val="006A05D7"/>
    <w:rsid w:val="006A07A4"/>
    <w:rsid w:val="006A07D5"/>
    <w:rsid w:val="006A085B"/>
    <w:rsid w:val="006A0DEA"/>
    <w:rsid w:val="006A0EF0"/>
    <w:rsid w:val="006A1095"/>
    <w:rsid w:val="006A109D"/>
    <w:rsid w:val="006A14B5"/>
    <w:rsid w:val="006A186B"/>
    <w:rsid w:val="006A1AEC"/>
    <w:rsid w:val="006A1C34"/>
    <w:rsid w:val="006A1E13"/>
    <w:rsid w:val="006A1EDC"/>
    <w:rsid w:val="006A1F15"/>
    <w:rsid w:val="006A1FDE"/>
    <w:rsid w:val="006A21AF"/>
    <w:rsid w:val="006A2646"/>
    <w:rsid w:val="006A2738"/>
    <w:rsid w:val="006A2E14"/>
    <w:rsid w:val="006A2EA6"/>
    <w:rsid w:val="006A359D"/>
    <w:rsid w:val="006A3670"/>
    <w:rsid w:val="006A3971"/>
    <w:rsid w:val="006A3BA0"/>
    <w:rsid w:val="006A3D5B"/>
    <w:rsid w:val="006A3DE7"/>
    <w:rsid w:val="006A400C"/>
    <w:rsid w:val="006A4BE2"/>
    <w:rsid w:val="006A4BEF"/>
    <w:rsid w:val="006A4C98"/>
    <w:rsid w:val="006A4EFD"/>
    <w:rsid w:val="006A5207"/>
    <w:rsid w:val="006A52A0"/>
    <w:rsid w:val="006A52DA"/>
    <w:rsid w:val="006A5498"/>
    <w:rsid w:val="006A5534"/>
    <w:rsid w:val="006A5573"/>
    <w:rsid w:val="006A5590"/>
    <w:rsid w:val="006A5B2B"/>
    <w:rsid w:val="006A5BD1"/>
    <w:rsid w:val="006A5C69"/>
    <w:rsid w:val="006A5C88"/>
    <w:rsid w:val="006A5C8B"/>
    <w:rsid w:val="006A5CBA"/>
    <w:rsid w:val="006A5DAC"/>
    <w:rsid w:val="006A6096"/>
    <w:rsid w:val="006A6142"/>
    <w:rsid w:val="006A62EC"/>
    <w:rsid w:val="006A6388"/>
    <w:rsid w:val="006A6455"/>
    <w:rsid w:val="006A6475"/>
    <w:rsid w:val="006A66D6"/>
    <w:rsid w:val="006A672C"/>
    <w:rsid w:val="006A6A18"/>
    <w:rsid w:val="006A70A8"/>
    <w:rsid w:val="006A7177"/>
    <w:rsid w:val="006A71FC"/>
    <w:rsid w:val="006A761C"/>
    <w:rsid w:val="006A7A2C"/>
    <w:rsid w:val="006A7E06"/>
    <w:rsid w:val="006B0072"/>
    <w:rsid w:val="006B00A4"/>
    <w:rsid w:val="006B00C9"/>
    <w:rsid w:val="006B02B5"/>
    <w:rsid w:val="006B09B5"/>
    <w:rsid w:val="006B126E"/>
    <w:rsid w:val="006B14C1"/>
    <w:rsid w:val="006B15F4"/>
    <w:rsid w:val="006B219B"/>
    <w:rsid w:val="006B227B"/>
    <w:rsid w:val="006B22B0"/>
    <w:rsid w:val="006B23D3"/>
    <w:rsid w:val="006B2593"/>
    <w:rsid w:val="006B29CE"/>
    <w:rsid w:val="006B29E5"/>
    <w:rsid w:val="006B2A7D"/>
    <w:rsid w:val="006B2A86"/>
    <w:rsid w:val="006B2EAE"/>
    <w:rsid w:val="006B30CD"/>
    <w:rsid w:val="006B31D4"/>
    <w:rsid w:val="006B3304"/>
    <w:rsid w:val="006B3418"/>
    <w:rsid w:val="006B38B6"/>
    <w:rsid w:val="006B3B76"/>
    <w:rsid w:val="006B3CBB"/>
    <w:rsid w:val="006B3CDA"/>
    <w:rsid w:val="006B448F"/>
    <w:rsid w:val="006B4544"/>
    <w:rsid w:val="006B4604"/>
    <w:rsid w:val="006B4763"/>
    <w:rsid w:val="006B4A3A"/>
    <w:rsid w:val="006B4DDF"/>
    <w:rsid w:val="006B5102"/>
    <w:rsid w:val="006B5138"/>
    <w:rsid w:val="006B52C5"/>
    <w:rsid w:val="006B54EB"/>
    <w:rsid w:val="006B553E"/>
    <w:rsid w:val="006B5800"/>
    <w:rsid w:val="006B5CEC"/>
    <w:rsid w:val="006B5E13"/>
    <w:rsid w:val="006B5F15"/>
    <w:rsid w:val="006B5FD9"/>
    <w:rsid w:val="006B68FF"/>
    <w:rsid w:val="006B694B"/>
    <w:rsid w:val="006B6A91"/>
    <w:rsid w:val="006B6B7D"/>
    <w:rsid w:val="006B6BEB"/>
    <w:rsid w:val="006B6DA9"/>
    <w:rsid w:val="006B6DE0"/>
    <w:rsid w:val="006B703B"/>
    <w:rsid w:val="006B733A"/>
    <w:rsid w:val="006B734A"/>
    <w:rsid w:val="006B74BB"/>
    <w:rsid w:val="006B7982"/>
    <w:rsid w:val="006B7A6C"/>
    <w:rsid w:val="006B7C39"/>
    <w:rsid w:val="006B7E53"/>
    <w:rsid w:val="006B7F33"/>
    <w:rsid w:val="006B7F8F"/>
    <w:rsid w:val="006C0045"/>
    <w:rsid w:val="006C050E"/>
    <w:rsid w:val="006C08C0"/>
    <w:rsid w:val="006C0A4F"/>
    <w:rsid w:val="006C0E4F"/>
    <w:rsid w:val="006C0FDA"/>
    <w:rsid w:val="006C11C5"/>
    <w:rsid w:val="006C1463"/>
    <w:rsid w:val="006C1560"/>
    <w:rsid w:val="006C19FE"/>
    <w:rsid w:val="006C1AA3"/>
    <w:rsid w:val="006C1B9B"/>
    <w:rsid w:val="006C20FC"/>
    <w:rsid w:val="006C2421"/>
    <w:rsid w:val="006C248B"/>
    <w:rsid w:val="006C260D"/>
    <w:rsid w:val="006C2733"/>
    <w:rsid w:val="006C2769"/>
    <w:rsid w:val="006C2FCD"/>
    <w:rsid w:val="006C3060"/>
    <w:rsid w:val="006C30AB"/>
    <w:rsid w:val="006C349E"/>
    <w:rsid w:val="006C34AB"/>
    <w:rsid w:val="006C34AE"/>
    <w:rsid w:val="006C37C6"/>
    <w:rsid w:val="006C3B22"/>
    <w:rsid w:val="006C3B43"/>
    <w:rsid w:val="006C3BC3"/>
    <w:rsid w:val="006C3DE2"/>
    <w:rsid w:val="006C3FA8"/>
    <w:rsid w:val="006C4019"/>
    <w:rsid w:val="006C4085"/>
    <w:rsid w:val="006C4192"/>
    <w:rsid w:val="006C4230"/>
    <w:rsid w:val="006C4234"/>
    <w:rsid w:val="006C4A1B"/>
    <w:rsid w:val="006C4D0D"/>
    <w:rsid w:val="006C4DD8"/>
    <w:rsid w:val="006C5188"/>
    <w:rsid w:val="006C536E"/>
    <w:rsid w:val="006C5375"/>
    <w:rsid w:val="006C5407"/>
    <w:rsid w:val="006C57A7"/>
    <w:rsid w:val="006C5A7D"/>
    <w:rsid w:val="006C5B94"/>
    <w:rsid w:val="006C5D85"/>
    <w:rsid w:val="006C5F34"/>
    <w:rsid w:val="006C6058"/>
    <w:rsid w:val="006C610C"/>
    <w:rsid w:val="006C6448"/>
    <w:rsid w:val="006C6AFA"/>
    <w:rsid w:val="006C6B0C"/>
    <w:rsid w:val="006C6B56"/>
    <w:rsid w:val="006C6C80"/>
    <w:rsid w:val="006C6E1C"/>
    <w:rsid w:val="006C6F88"/>
    <w:rsid w:val="006C6F95"/>
    <w:rsid w:val="006C730D"/>
    <w:rsid w:val="006C73C3"/>
    <w:rsid w:val="006C751B"/>
    <w:rsid w:val="006C77D5"/>
    <w:rsid w:val="006C79FD"/>
    <w:rsid w:val="006C7B69"/>
    <w:rsid w:val="006C7F0F"/>
    <w:rsid w:val="006D00AF"/>
    <w:rsid w:val="006D061D"/>
    <w:rsid w:val="006D081F"/>
    <w:rsid w:val="006D087A"/>
    <w:rsid w:val="006D0891"/>
    <w:rsid w:val="006D0DE8"/>
    <w:rsid w:val="006D0F6D"/>
    <w:rsid w:val="006D1070"/>
    <w:rsid w:val="006D10A1"/>
    <w:rsid w:val="006D13A0"/>
    <w:rsid w:val="006D1503"/>
    <w:rsid w:val="006D151E"/>
    <w:rsid w:val="006D15C2"/>
    <w:rsid w:val="006D1ADC"/>
    <w:rsid w:val="006D1DF4"/>
    <w:rsid w:val="006D202A"/>
    <w:rsid w:val="006D2176"/>
    <w:rsid w:val="006D2275"/>
    <w:rsid w:val="006D2860"/>
    <w:rsid w:val="006D2C2A"/>
    <w:rsid w:val="006D37CA"/>
    <w:rsid w:val="006D3D59"/>
    <w:rsid w:val="006D3EB4"/>
    <w:rsid w:val="006D3F37"/>
    <w:rsid w:val="006D4015"/>
    <w:rsid w:val="006D41E3"/>
    <w:rsid w:val="006D424B"/>
    <w:rsid w:val="006D4370"/>
    <w:rsid w:val="006D4378"/>
    <w:rsid w:val="006D4629"/>
    <w:rsid w:val="006D489F"/>
    <w:rsid w:val="006D4ABF"/>
    <w:rsid w:val="006D4AD6"/>
    <w:rsid w:val="006D4CFF"/>
    <w:rsid w:val="006D4D02"/>
    <w:rsid w:val="006D51E9"/>
    <w:rsid w:val="006D544F"/>
    <w:rsid w:val="006D55B6"/>
    <w:rsid w:val="006D56B3"/>
    <w:rsid w:val="006D5727"/>
    <w:rsid w:val="006D5A30"/>
    <w:rsid w:val="006D5B57"/>
    <w:rsid w:val="006D5E9F"/>
    <w:rsid w:val="006D627D"/>
    <w:rsid w:val="006D638E"/>
    <w:rsid w:val="006D6609"/>
    <w:rsid w:val="006D66FA"/>
    <w:rsid w:val="006D6D3B"/>
    <w:rsid w:val="006D6E0C"/>
    <w:rsid w:val="006D70BC"/>
    <w:rsid w:val="006D70C4"/>
    <w:rsid w:val="006D7B84"/>
    <w:rsid w:val="006E01FF"/>
    <w:rsid w:val="006E02E6"/>
    <w:rsid w:val="006E1690"/>
    <w:rsid w:val="006E1A62"/>
    <w:rsid w:val="006E1C63"/>
    <w:rsid w:val="006E1CD3"/>
    <w:rsid w:val="006E1E03"/>
    <w:rsid w:val="006E2282"/>
    <w:rsid w:val="006E23C1"/>
    <w:rsid w:val="006E23FD"/>
    <w:rsid w:val="006E245E"/>
    <w:rsid w:val="006E277A"/>
    <w:rsid w:val="006E28DE"/>
    <w:rsid w:val="006E2C34"/>
    <w:rsid w:val="006E2C8D"/>
    <w:rsid w:val="006E2D51"/>
    <w:rsid w:val="006E329C"/>
    <w:rsid w:val="006E32C6"/>
    <w:rsid w:val="006E3390"/>
    <w:rsid w:val="006E33A1"/>
    <w:rsid w:val="006E3586"/>
    <w:rsid w:val="006E3833"/>
    <w:rsid w:val="006E39EB"/>
    <w:rsid w:val="006E3AA6"/>
    <w:rsid w:val="006E3AAD"/>
    <w:rsid w:val="006E3DBF"/>
    <w:rsid w:val="006E3FF5"/>
    <w:rsid w:val="006E434A"/>
    <w:rsid w:val="006E4874"/>
    <w:rsid w:val="006E488B"/>
    <w:rsid w:val="006E4906"/>
    <w:rsid w:val="006E4923"/>
    <w:rsid w:val="006E4925"/>
    <w:rsid w:val="006E4E5F"/>
    <w:rsid w:val="006E5063"/>
    <w:rsid w:val="006E506F"/>
    <w:rsid w:val="006E5249"/>
    <w:rsid w:val="006E52BB"/>
    <w:rsid w:val="006E57B4"/>
    <w:rsid w:val="006E587D"/>
    <w:rsid w:val="006E5CCA"/>
    <w:rsid w:val="006E5FC6"/>
    <w:rsid w:val="006E6104"/>
    <w:rsid w:val="006E6189"/>
    <w:rsid w:val="006E62DD"/>
    <w:rsid w:val="006E6433"/>
    <w:rsid w:val="006E645A"/>
    <w:rsid w:val="006E6570"/>
    <w:rsid w:val="006E6BCE"/>
    <w:rsid w:val="006E6CD0"/>
    <w:rsid w:val="006E765A"/>
    <w:rsid w:val="006E788A"/>
    <w:rsid w:val="006E78D2"/>
    <w:rsid w:val="006E7B39"/>
    <w:rsid w:val="006E7CD5"/>
    <w:rsid w:val="006E7D99"/>
    <w:rsid w:val="006F02B2"/>
    <w:rsid w:val="006F039E"/>
    <w:rsid w:val="006F0653"/>
    <w:rsid w:val="006F0753"/>
    <w:rsid w:val="006F0881"/>
    <w:rsid w:val="006F0A36"/>
    <w:rsid w:val="006F0A5C"/>
    <w:rsid w:val="006F0B66"/>
    <w:rsid w:val="006F0CB7"/>
    <w:rsid w:val="006F0EC0"/>
    <w:rsid w:val="006F0F22"/>
    <w:rsid w:val="006F1392"/>
    <w:rsid w:val="006F16D3"/>
    <w:rsid w:val="006F17B5"/>
    <w:rsid w:val="006F1904"/>
    <w:rsid w:val="006F1CAA"/>
    <w:rsid w:val="006F1EE9"/>
    <w:rsid w:val="006F20BA"/>
    <w:rsid w:val="006F26DA"/>
    <w:rsid w:val="006F2869"/>
    <w:rsid w:val="006F2AFD"/>
    <w:rsid w:val="006F2B9D"/>
    <w:rsid w:val="006F31C7"/>
    <w:rsid w:val="006F32B7"/>
    <w:rsid w:val="006F359A"/>
    <w:rsid w:val="006F35B8"/>
    <w:rsid w:val="006F374F"/>
    <w:rsid w:val="006F37BC"/>
    <w:rsid w:val="006F3859"/>
    <w:rsid w:val="006F3A4D"/>
    <w:rsid w:val="006F3A5B"/>
    <w:rsid w:val="006F3B66"/>
    <w:rsid w:val="006F3B7F"/>
    <w:rsid w:val="006F3E47"/>
    <w:rsid w:val="006F3E91"/>
    <w:rsid w:val="006F3F1B"/>
    <w:rsid w:val="006F4157"/>
    <w:rsid w:val="006F4314"/>
    <w:rsid w:val="006F44E4"/>
    <w:rsid w:val="006F464E"/>
    <w:rsid w:val="006F4823"/>
    <w:rsid w:val="006F49ED"/>
    <w:rsid w:val="006F4B09"/>
    <w:rsid w:val="006F4D57"/>
    <w:rsid w:val="006F4E04"/>
    <w:rsid w:val="006F5259"/>
    <w:rsid w:val="006F567A"/>
    <w:rsid w:val="006F5855"/>
    <w:rsid w:val="006F58D0"/>
    <w:rsid w:val="006F5A4E"/>
    <w:rsid w:val="006F5CFD"/>
    <w:rsid w:val="006F601E"/>
    <w:rsid w:val="006F61CE"/>
    <w:rsid w:val="006F6660"/>
    <w:rsid w:val="006F6C25"/>
    <w:rsid w:val="006F727D"/>
    <w:rsid w:val="006F72F7"/>
    <w:rsid w:val="006F757F"/>
    <w:rsid w:val="006F7B65"/>
    <w:rsid w:val="006F7EA8"/>
    <w:rsid w:val="006F7F85"/>
    <w:rsid w:val="006F7F8A"/>
    <w:rsid w:val="00700265"/>
    <w:rsid w:val="00700721"/>
    <w:rsid w:val="007008A5"/>
    <w:rsid w:val="007009BE"/>
    <w:rsid w:val="007009D2"/>
    <w:rsid w:val="0070124B"/>
    <w:rsid w:val="00701313"/>
    <w:rsid w:val="007014CE"/>
    <w:rsid w:val="0070164A"/>
    <w:rsid w:val="00701CEF"/>
    <w:rsid w:val="00701FBE"/>
    <w:rsid w:val="00702007"/>
    <w:rsid w:val="00702362"/>
    <w:rsid w:val="007023CB"/>
    <w:rsid w:val="00702A12"/>
    <w:rsid w:val="00702B1E"/>
    <w:rsid w:val="00702E54"/>
    <w:rsid w:val="00702ECA"/>
    <w:rsid w:val="007030E0"/>
    <w:rsid w:val="0070315F"/>
    <w:rsid w:val="007032FC"/>
    <w:rsid w:val="00703426"/>
    <w:rsid w:val="007036B6"/>
    <w:rsid w:val="0070378E"/>
    <w:rsid w:val="00703944"/>
    <w:rsid w:val="00703A46"/>
    <w:rsid w:val="00703A6D"/>
    <w:rsid w:val="00703ADB"/>
    <w:rsid w:val="00703BE7"/>
    <w:rsid w:val="00703E43"/>
    <w:rsid w:val="0070414C"/>
    <w:rsid w:val="00704346"/>
    <w:rsid w:val="0070447C"/>
    <w:rsid w:val="00704676"/>
    <w:rsid w:val="0070476D"/>
    <w:rsid w:val="007049FD"/>
    <w:rsid w:val="00704B60"/>
    <w:rsid w:val="00704BC7"/>
    <w:rsid w:val="00704FDB"/>
    <w:rsid w:val="007051CB"/>
    <w:rsid w:val="007052E3"/>
    <w:rsid w:val="007053F5"/>
    <w:rsid w:val="00705521"/>
    <w:rsid w:val="00705786"/>
    <w:rsid w:val="00705837"/>
    <w:rsid w:val="00705CD0"/>
    <w:rsid w:val="00705ED0"/>
    <w:rsid w:val="0070624F"/>
    <w:rsid w:val="0070646E"/>
    <w:rsid w:val="007066ED"/>
    <w:rsid w:val="00706765"/>
    <w:rsid w:val="00706835"/>
    <w:rsid w:val="007068AF"/>
    <w:rsid w:val="00706C2A"/>
    <w:rsid w:val="00706C60"/>
    <w:rsid w:val="007071BA"/>
    <w:rsid w:val="007075B8"/>
    <w:rsid w:val="00707672"/>
    <w:rsid w:val="007076B6"/>
    <w:rsid w:val="00707992"/>
    <w:rsid w:val="00707ACA"/>
    <w:rsid w:val="00707B56"/>
    <w:rsid w:val="00707E32"/>
    <w:rsid w:val="00707E74"/>
    <w:rsid w:val="00707E80"/>
    <w:rsid w:val="0071014D"/>
    <w:rsid w:val="0071017A"/>
    <w:rsid w:val="0071024B"/>
    <w:rsid w:val="00710422"/>
    <w:rsid w:val="00710540"/>
    <w:rsid w:val="00710A5F"/>
    <w:rsid w:val="00710A78"/>
    <w:rsid w:val="00710CD5"/>
    <w:rsid w:val="00710CDA"/>
    <w:rsid w:val="00710ECA"/>
    <w:rsid w:val="0071137D"/>
    <w:rsid w:val="0071192A"/>
    <w:rsid w:val="0071198F"/>
    <w:rsid w:val="007119DD"/>
    <w:rsid w:val="00711B17"/>
    <w:rsid w:val="00711D36"/>
    <w:rsid w:val="00711E32"/>
    <w:rsid w:val="0071207D"/>
    <w:rsid w:val="0071220E"/>
    <w:rsid w:val="007122D2"/>
    <w:rsid w:val="00712427"/>
    <w:rsid w:val="007127DC"/>
    <w:rsid w:val="00712A2B"/>
    <w:rsid w:val="00712B5F"/>
    <w:rsid w:val="00712BC2"/>
    <w:rsid w:val="00712F02"/>
    <w:rsid w:val="00712F21"/>
    <w:rsid w:val="00712F49"/>
    <w:rsid w:val="007132FE"/>
    <w:rsid w:val="00713376"/>
    <w:rsid w:val="0071353D"/>
    <w:rsid w:val="00713852"/>
    <w:rsid w:val="007138E2"/>
    <w:rsid w:val="0071392F"/>
    <w:rsid w:val="00713B68"/>
    <w:rsid w:val="00713C7C"/>
    <w:rsid w:val="00713CBA"/>
    <w:rsid w:val="00713EC7"/>
    <w:rsid w:val="00713FF0"/>
    <w:rsid w:val="00714509"/>
    <w:rsid w:val="007146B5"/>
    <w:rsid w:val="0071495F"/>
    <w:rsid w:val="00714BF3"/>
    <w:rsid w:val="00714BFE"/>
    <w:rsid w:val="00714ED7"/>
    <w:rsid w:val="00714F91"/>
    <w:rsid w:val="00715016"/>
    <w:rsid w:val="00715390"/>
    <w:rsid w:val="007153F4"/>
    <w:rsid w:val="0071545C"/>
    <w:rsid w:val="00715509"/>
    <w:rsid w:val="007158BA"/>
    <w:rsid w:val="0071593E"/>
    <w:rsid w:val="00715C76"/>
    <w:rsid w:val="00715CE1"/>
    <w:rsid w:val="00715F4B"/>
    <w:rsid w:val="007161EE"/>
    <w:rsid w:val="00716536"/>
    <w:rsid w:val="0071653B"/>
    <w:rsid w:val="00716665"/>
    <w:rsid w:val="00716B90"/>
    <w:rsid w:val="00716D69"/>
    <w:rsid w:val="00717077"/>
    <w:rsid w:val="00717485"/>
    <w:rsid w:val="00717845"/>
    <w:rsid w:val="00717C63"/>
    <w:rsid w:val="00717D8B"/>
    <w:rsid w:val="007206B9"/>
    <w:rsid w:val="00720701"/>
    <w:rsid w:val="00720837"/>
    <w:rsid w:val="00720CE0"/>
    <w:rsid w:val="00720FCF"/>
    <w:rsid w:val="007214FC"/>
    <w:rsid w:val="00721E04"/>
    <w:rsid w:val="00721E2A"/>
    <w:rsid w:val="00721E97"/>
    <w:rsid w:val="00721F04"/>
    <w:rsid w:val="007221D2"/>
    <w:rsid w:val="007222BB"/>
    <w:rsid w:val="007223C5"/>
    <w:rsid w:val="0072257A"/>
    <w:rsid w:val="00722722"/>
    <w:rsid w:val="00722848"/>
    <w:rsid w:val="00722A32"/>
    <w:rsid w:val="00722B62"/>
    <w:rsid w:val="00723122"/>
    <w:rsid w:val="0072319A"/>
    <w:rsid w:val="0072332D"/>
    <w:rsid w:val="0072344E"/>
    <w:rsid w:val="0072386B"/>
    <w:rsid w:val="00723C47"/>
    <w:rsid w:val="00723F8C"/>
    <w:rsid w:val="00724347"/>
    <w:rsid w:val="007244E7"/>
    <w:rsid w:val="007247D3"/>
    <w:rsid w:val="0072483E"/>
    <w:rsid w:val="007249AC"/>
    <w:rsid w:val="00724A7F"/>
    <w:rsid w:val="00724D8D"/>
    <w:rsid w:val="00725333"/>
    <w:rsid w:val="00725411"/>
    <w:rsid w:val="00725563"/>
    <w:rsid w:val="0072589F"/>
    <w:rsid w:val="00725AC8"/>
    <w:rsid w:val="00725E0B"/>
    <w:rsid w:val="00725E23"/>
    <w:rsid w:val="00725F73"/>
    <w:rsid w:val="00726121"/>
    <w:rsid w:val="00726366"/>
    <w:rsid w:val="007265B7"/>
    <w:rsid w:val="007268C0"/>
    <w:rsid w:val="007269A9"/>
    <w:rsid w:val="007269B0"/>
    <w:rsid w:val="00726C42"/>
    <w:rsid w:val="00726DC1"/>
    <w:rsid w:val="00726E83"/>
    <w:rsid w:val="00726EFC"/>
    <w:rsid w:val="0072736B"/>
    <w:rsid w:val="00727419"/>
    <w:rsid w:val="007275DE"/>
    <w:rsid w:val="007277EE"/>
    <w:rsid w:val="007277EF"/>
    <w:rsid w:val="00727AE1"/>
    <w:rsid w:val="00727C8B"/>
    <w:rsid w:val="007300C6"/>
    <w:rsid w:val="00730242"/>
    <w:rsid w:val="007302F3"/>
    <w:rsid w:val="00730322"/>
    <w:rsid w:val="00730341"/>
    <w:rsid w:val="00730678"/>
    <w:rsid w:val="007310D3"/>
    <w:rsid w:val="007310DF"/>
    <w:rsid w:val="00731146"/>
    <w:rsid w:val="007319F3"/>
    <w:rsid w:val="00731B67"/>
    <w:rsid w:val="00732012"/>
    <w:rsid w:val="00732180"/>
    <w:rsid w:val="00732510"/>
    <w:rsid w:val="007326C5"/>
    <w:rsid w:val="007327F3"/>
    <w:rsid w:val="0073283A"/>
    <w:rsid w:val="00732FB1"/>
    <w:rsid w:val="007330DA"/>
    <w:rsid w:val="007331FF"/>
    <w:rsid w:val="0073339B"/>
    <w:rsid w:val="00733762"/>
    <w:rsid w:val="00733792"/>
    <w:rsid w:val="0073400E"/>
    <w:rsid w:val="0073426C"/>
    <w:rsid w:val="0073437B"/>
    <w:rsid w:val="007343FB"/>
    <w:rsid w:val="007345DF"/>
    <w:rsid w:val="00734710"/>
    <w:rsid w:val="0073489C"/>
    <w:rsid w:val="007349C0"/>
    <w:rsid w:val="00735468"/>
    <w:rsid w:val="0073567A"/>
    <w:rsid w:val="00735AC7"/>
    <w:rsid w:val="00735E08"/>
    <w:rsid w:val="00735F3B"/>
    <w:rsid w:val="0073637D"/>
    <w:rsid w:val="007365B6"/>
    <w:rsid w:val="007366AE"/>
    <w:rsid w:val="00736BAA"/>
    <w:rsid w:val="00736F6C"/>
    <w:rsid w:val="00737083"/>
    <w:rsid w:val="0073755E"/>
    <w:rsid w:val="00737674"/>
    <w:rsid w:val="007378DF"/>
    <w:rsid w:val="007379A4"/>
    <w:rsid w:val="00737D1B"/>
    <w:rsid w:val="007400AF"/>
    <w:rsid w:val="007402AF"/>
    <w:rsid w:val="00740409"/>
    <w:rsid w:val="007407A1"/>
    <w:rsid w:val="00740DBA"/>
    <w:rsid w:val="00740FBC"/>
    <w:rsid w:val="0074105C"/>
    <w:rsid w:val="0074107C"/>
    <w:rsid w:val="00741142"/>
    <w:rsid w:val="007417B7"/>
    <w:rsid w:val="00741816"/>
    <w:rsid w:val="00741902"/>
    <w:rsid w:val="00741934"/>
    <w:rsid w:val="00741993"/>
    <w:rsid w:val="00741DDE"/>
    <w:rsid w:val="00741F85"/>
    <w:rsid w:val="0074223A"/>
    <w:rsid w:val="007424CB"/>
    <w:rsid w:val="00742528"/>
    <w:rsid w:val="00742617"/>
    <w:rsid w:val="00742627"/>
    <w:rsid w:val="00742A97"/>
    <w:rsid w:val="00742BCC"/>
    <w:rsid w:val="00742C6A"/>
    <w:rsid w:val="00742CC5"/>
    <w:rsid w:val="00742D3F"/>
    <w:rsid w:val="00742FDF"/>
    <w:rsid w:val="007430C4"/>
    <w:rsid w:val="007430DA"/>
    <w:rsid w:val="007431BC"/>
    <w:rsid w:val="00743384"/>
    <w:rsid w:val="00743C6E"/>
    <w:rsid w:val="00743CD8"/>
    <w:rsid w:val="00743E36"/>
    <w:rsid w:val="007442AD"/>
    <w:rsid w:val="007442DC"/>
    <w:rsid w:val="00744712"/>
    <w:rsid w:val="00744797"/>
    <w:rsid w:val="00744B06"/>
    <w:rsid w:val="00744C1C"/>
    <w:rsid w:val="00744D13"/>
    <w:rsid w:val="00744D72"/>
    <w:rsid w:val="00744F68"/>
    <w:rsid w:val="00745324"/>
    <w:rsid w:val="0074593E"/>
    <w:rsid w:val="0074596A"/>
    <w:rsid w:val="00745BAA"/>
    <w:rsid w:val="00745E07"/>
    <w:rsid w:val="00746497"/>
    <w:rsid w:val="007465FA"/>
    <w:rsid w:val="0074670F"/>
    <w:rsid w:val="00746895"/>
    <w:rsid w:val="007468FF"/>
    <w:rsid w:val="00746CFB"/>
    <w:rsid w:val="00747532"/>
    <w:rsid w:val="00747619"/>
    <w:rsid w:val="0074770F"/>
    <w:rsid w:val="0074787C"/>
    <w:rsid w:val="0074790A"/>
    <w:rsid w:val="00747B11"/>
    <w:rsid w:val="00747E97"/>
    <w:rsid w:val="00750397"/>
    <w:rsid w:val="00750490"/>
    <w:rsid w:val="00750580"/>
    <w:rsid w:val="00750903"/>
    <w:rsid w:val="00750A72"/>
    <w:rsid w:val="00750DBC"/>
    <w:rsid w:val="00750DF8"/>
    <w:rsid w:val="00750EF4"/>
    <w:rsid w:val="00750F48"/>
    <w:rsid w:val="007511F0"/>
    <w:rsid w:val="007513F9"/>
    <w:rsid w:val="007515C1"/>
    <w:rsid w:val="007518C3"/>
    <w:rsid w:val="00751ABB"/>
    <w:rsid w:val="00751D48"/>
    <w:rsid w:val="00752035"/>
    <w:rsid w:val="007522EF"/>
    <w:rsid w:val="00752480"/>
    <w:rsid w:val="007524E0"/>
    <w:rsid w:val="00752AF1"/>
    <w:rsid w:val="00752CD5"/>
    <w:rsid w:val="00752E96"/>
    <w:rsid w:val="00752EDD"/>
    <w:rsid w:val="00752FA6"/>
    <w:rsid w:val="00752FD7"/>
    <w:rsid w:val="00753158"/>
    <w:rsid w:val="00753165"/>
    <w:rsid w:val="00753386"/>
    <w:rsid w:val="00753560"/>
    <w:rsid w:val="00753A78"/>
    <w:rsid w:val="0075412F"/>
    <w:rsid w:val="00754392"/>
    <w:rsid w:val="00754748"/>
    <w:rsid w:val="007547AA"/>
    <w:rsid w:val="00754AEE"/>
    <w:rsid w:val="00754C6C"/>
    <w:rsid w:val="00754EC3"/>
    <w:rsid w:val="0075511F"/>
    <w:rsid w:val="00755323"/>
    <w:rsid w:val="0075561C"/>
    <w:rsid w:val="007557F2"/>
    <w:rsid w:val="0075584C"/>
    <w:rsid w:val="00755857"/>
    <w:rsid w:val="00755B43"/>
    <w:rsid w:val="00755D21"/>
    <w:rsid w:val="007560A4"/>
    <w:rsid w:val="00756473"/>
    <w:rsid w:val="00756827"/>
    <w:rsid w:val="00756A48"/>
    <w:rsid w:val="00756B78"/>
    <w:rsid w:val="00756D77"/>
    <w:rsid w:val="0075708C"/>
    <w:rsid w:val="00757130"/>
    <w:rsid w:val="00757277"/>
    <w:rsid w:val="007572BB"/>
    <w:rsid w:val="00757310"/>
    <w:rsid w:val="00757533"/>
    <w:rsid w:val="0075773C"/>
    <w:rsid w:val="0075774F"/>
    <w:rsid w:val="00757897"/>
    <w:rsid w:val="0075798B"/>
    <w:rsid w:val="0076023F"/>
    <w:rsid w:val="0076031D"/>
    <w:rsid w:val="007603D3"/>
    <w:rsid w:val="00760516"/>
    <w:rsid w:val="00760872"/>
    <w:rsid w:val="00760BF7"/>
    <w:rsid w:val="007611DC"/>
    <w:rsid w:val="0076121A"/>
    <w:rsid w:val="00761231"/>
    <w:rsid w:val="007612B8"/>
    <w:rsid w:val="00761431"/>
    <w:rsid w:val="00761463"/>
    <w:rsid w:val="00761530"/>
    <w:rsid w:val="00761663"/>
    <w:rsid w:val="007616BB"/>
    <w:rsid w:val="00761CEC"/>
    <w:rsid w:val="00761DBF"/>
    <w:rsid w:val="00761E10"/>
    <w:rsid w:val="00761F33"/>
    <w:rsid w:val="007620B1"/>
    <w:rsid w:val="00762296"/>
    <w:rsid w:val="007623F1"/>
    <w:rsid w:val="00762498"/>
    <w:rsid w:val="00762613"/>
    <w:rsid w:val="007628DB"/>
    <w:rsid w:val="00762AB0"/>
    <w:rsid w:val="00762E67"/>
    <w:rsid w:val="00762FFB"/>
    <w:rsid w:val="007632A8"/>
    <w:rsid w:val="007633CE"/>
    <w:rsid w:val="00763722"/>
    <w:rsid w:val="00763751"/>
    <w:rsid w:val="00763789"/>
    <w:rsid w:val="00763829"/>
    <w:rsid w:val="0076386D"/>
    <w:rsid w:val="00763A33"/>
    <w:rsid w:val="00763D3F"/>
    <w:rsid w:val="00763DF0"/>
    <w:rsid w:val="00763E61"/>
    <w:rsid w:val="007640DF"/>
    <w:rsid w:val="007644D7"/>
    <w:rsid w:val="00764A68"/>
    <w:rsid w:val="00764B66"/>
    <w:rsid w:val="00764BF2"/>
    <w:rsid w:val="00764E75"/>
    <w:rsid w:val="0076582D"/>
    <w:rsid w:val="0076619F"/>
    <w:rsid w:val="0076650F"/>
    <w:rsid w:val="00766B29"/>
    <w:rsid w:val="00766B2E"/>
    <w:rsid w:val="00766F4E"/>
    <w:rsid w:val="007674DA"/>
    <w:rsid w:val="007679CE"/>
    <w:rsid w:val="00767BF3"/>
    <w:rsid w:val="00767C81"/>
    <w:rsid w:val="00767D55"/>
    <w:rsid w:val="007700C2"/>
    <w:rsid w:val="00770110"/>
    <w:rsid w:val="007701D6"/>
    <w:rsid w:val="00770214"/>
    <w:rsid w:val="00770937"/>
    <w:rsid w:val="007709A7"/>
    <w:rsid w:val="00770C43"/>
    <w:rsid w:val="00770D4C"/>
    <w:rsid w:val="00771276"/>
    <w:rsid w:val="007713B1"/>
    <w:rsid w:val="007714B4"/>
    <w:rsid w:val="007719BA"/>
    <w:rsid w:val="00771C70"/>
    <w:rsid w:val="00771D02"/>
    <w:rsid w:val="00772094"/>
    <w:rsid w:val="00772181"/>
    <w:rsid w:val="007721F8"/>
    <w:rsid w:val="00772598"/>
    <w:rsid w:val="007726C3"/>
    <w:rsid w:val="007726FD"/>
    <w:rsid w:val="0077288B"/>
    <w:rsid w:val="007728C0"/>
    <w:rsid w:val="007728E1"/>
    <w:rsid w:val="00772A66"/>
    <w:rsid w:val="00772B3E"/>
    <w:rsid w:val="00772BA5"/>
    <w:rsid w:val="00772D4B"/>
    <w:rsid w:val="00772E92"/>
    <w:rsid w:val="007731B0"/>
    <w:rsid w:val="007731E7"/>
    <w:rsid w:val="0077338C"/>
    <w:rsid w:val="007733ED"/>
    <w:rsid w:val="0077345A"/>
    <w:rsid w:val="007734B5"/>
    <w:rsid w:val="0077351F"/>
    <w:rsid w:val="00773712"/>
    <w:rsid w:val="0077385A"/>
    <w:rsid w:val="007739B0"/>
    <w:rsid w:val="00773A52"/>
    <w:rsid w:val="00773B99"/>
    <w:rsid w:val="00773CA0"/>
    <w:rsid w:val="00774360"/>
    <w:rsid w:val="00774382"/>
    <w:rsid w:val="0077449C"/>
    <w:rsid w:val="00774672"/>
    <w:rsid w:val="00774892"/>
    <w:rsid w:val="0077498E"/>
    <w:rsid w:val="00774C78"/>
    <w:rsid w:val="00774CD7"/>
    <w:rsid w:val="00774E05"/>
    <w:rsid w:val="00774E82"/>
    <w:rsid w:val="007750A8"/>
    <w:rsid w:val="007750D1"/>
    <w:rsid w:val="00775367"/>
    <w:rsid w:val="007754D1"/>
    <w:rsid w:val="0077595A"/>
    <w:rsid w:val="0077595E"/>
    <w:rsid w:val="00775AB4"/>
    <w:rsid w:val="00775CD1"/>
    <w:rsid w:val="00775D72"/>
    <w:rsid w:val="0077609B"/>
    <w:rsid w:val="0077629F"/>
    <w:rsid w:val="0077684B"/>
    <w:rsid w:val="00776A07"/>
    <w:rsid w:val="00776AD2"/>
    <w:rsid w:val="00776CBF"/>
    <w:rsid w:val="00776FC9"/>
    <w:rsid w:val="007772A3"/>
    <w:rsid w:val="00777489"/>
    <w:rsid w:val="00777668"/>
    <w:rsid w:val="00777A96"/>
    <w:rsid w:val="00777DA7"/>
    <w:rsid w:val="00777F2F"/>
    <w:rsid w:val="00780145"/>
    <w:rsid w:val="007805B7"/>
    <w:rsid w:val="00780779"/>
    <w:rsid w:val="007807F8"/>
    <w:rsid w:val="00780821"/>
    <w:rsid w:val="00780DEF"/>
    <w:rsid w:val="00781231"/>
    <w:rsid w:val="00781243"/>
    <w:rsid w:val="007818AD"/>
    <w:rsid w:val="0078191E"/>
    <w:rsid w:val="00781A6D"/>
    <w:rsid w:val="00781BDA"/>
    <w:rsid w:val="00781D82"/>
    <w:rsid w:val="0078219E"/>
    <w:rsid w:val="007822AD"/>
    <w:rsid w:val="007823B2"/>
    <w:rsid w:val="00782804"/>
    <w:rsid w:val="00782E53"/>
    <w:rsid w:val="00782ECC"/>
    <w:rsid w:val="00783117"/>
    <w:rsid w:val="00783192"/>
    <w:rsid w:val="00783231"/>
    <w:rsid w:val="0078349B"/>
    <w:rsid w:val="00783620"/>
    <w:rsid w:val="007837D6"/>
    <w:rsid w:val="0078382C"/>
    <w:rsid w:val="007838BC"/>
    <w:rsid w:val="0078390F"/>
    <w:rsid w:val="0078395F"/>
    <w:rsid w:val="007839B7"/>
    <w:rsid w:val="007839C8"/>
    <w:rsid w:val="00783DCA"/>
    <w:rsid w:val="007845C4"/>
    <w:rsid w:val="007846C8"/>
    <w:rsid w:val="00784783"/>
    <w:rsid w:val="00784810"/>
    <w:rsid w:val="0078488F"/>
    <w:rsid w:val="00784ABC"/>
    <w:rsid w:val="00784B42"/>
    <w:rsid w:val="00784BF0"/>
    <w:rsid w:val="00784E52"/>
    <w:rsid w:val="00784F88"/>
    <w:rsid w:val="00785491"/>
    <w:rsid w:val="0078581F"/>
    <w:rsid w:val="007859AE"/>
    <w:rsid w:val="00785CCB"/>
    <w:rsid w:val="00785D96"/>
    <w:rsid w:val="00785DAF"/>
    <w:rsid w:val="0078617C"/>
    <w:rsid w:val="007864F8"/>
    <w:rsid w:val="00786C0B"/>
    <w:rsid w:val="00786C50"/>
    <w:rsid w:val="00786F01"/>
    <w:rsid w:val="00786F3B"/>
    <w:rsid w:val="00786F52"/>
    <w:rsid w:val="00786F67"/>
    <w:rsid w:val="00787096"/>
    <w:rsid w:val="00787238"/>
    <w:rsid w:val="00787322"/>
    <w:rsid w:val="0078763E"/>
    <w:rsid w:val="00787821"/>
    <w:rsid w:val="00787CBA"/>
    <w:rsid w:val="00787F0C"/>
    <w:rsid w:val="00790260"/>
    <w:rsid w:val="007905CE"/>
    <w:rsid w:val="007905F8"/>
    <w:rsid w:val="00790606"/>
    <w:rsid w:val="007906A1"/>
    <w:rsid w:val="007907C2"/>
    <w:rsid w:val="0079096B"/>
    <w:rsid w:val="007909B3"/>
    <w:rsid w:val="007909ED"/>
    <w:rsid w:val="00790B2F"/>
    <w:rsid w:val="00791141"/>
    <w:rsid w:val="0079118C"/>
    <w:rsid w:val="007911CC"/>
    <w:rsid w:val="00791376"/>
    <w:rsid w:val="00791569"/>
    <w:rsid w:val="007915A6"/>
    <w:rsid w:val="00791677"/>
    <w:rsid w:val="00791A66"/>
    <w:rsid w:val="00791DBF"/>
    <w:rsid w:val="00792247"/>
    <w:rsid w:val="007926B7"/>
    <w:rsid w:val="00792A30"/>
    <w:rsid w:val="00792F17"/>
    <w:rsid w:val="00793334"/>
    <w:rsid w:val="007933F2"/>
    <w:rsid w:val="0079365A"/>
    <w:rsid w:val="0079367F"/>
    <w:rsid w:val="00793921"/>
    <w:rsid w:val="00793A52"/>
    <w:rsid w:val="00793B00"/>
    <w:rsid w:val="00793C4A"/>
    <w:rsid w:val="00793D00"/>
    <w:rsid w:val="00793F45"/>
    <w:rsid w:val="00794336"/>
    <w:rsid w:val="0079472A"/>
    <w:rsid w:val="00794BDE"/>
    <w:rsid w:val="00794CE9"/>
    <w:rsid w:val="00794D6B"/>
    <w:rsid w:val="00794E75"/>
    <w:rsid w:val="00795395"/>
    <w:rsid w:val="0079563C"/>
    <w:rsid w:val="0079566A"/>
    <w:rsid w:val="00795D66"/>
    <w:rsid w:val="00795EBD"/>
    <w:rsid w:val="007961EF"/>
    <w:rsid w:val="00796D70"/>
    <w:rsid w:val="00796DBB"/>
    <w:rsid w:val="00796F26"/>
    <w:rsid w:val="00797021"/>
    <w:rsid w:val="007972BB"/>
    <w:rsid w:val="007974E8"/>
    <w:rsid w:val="00797627"/>
    <w:rsid w:val="007976FB"/>
    <w:rsid w:val="0079780D"/>
    <w:rsid w:val="007978C9"/>
    <w:rsid w:val="00797B50"/>
    <w:rsid w:val="00797BC0"/>
    <w:rsid w:val="007A00C4"/>
    <w:rsid w:val="007A012A"/>
    <w:rsid w:val="007A025B"/>
    <w:rsid w:val="007A0279"/>
    <w:rsid w:val="007A02FF"/>
    <w:rsid w:val="007A0439"/>
    <w:rsid w:val="007A082B"/>
    <w:rsid w:val="007A0BDC"/>
    <w:rsid w:val="007A0E9B"/>
    <w:rsid w:val="007A0F1F"/>
    <w:rsid w:val="007A1697"/>
    <w:rsid w:val="007A19BD"/>
    <w:rsid w:val="007A1E0D"/>
    <w:rsid w:val="007A2218"/>
    <w:rsid w:val="007A227B"/>
    <w:rsid w:val="007A241D"/>
    <w:rsid w:val="007A245D"/>
    <w:rsid w:val="007A247D"/>
    <w:rsid w:val="007A2635"/>
    <w:rsid w:val="007A2E36"/>
    <w:rsid w:val="007A302F"/>
    <w:rsid w:val="007A32A0"/>
    <w:rsid w:val="007A32DD"/>
    <w:rsid w:val="007A33C5"/>
    <w:rsid w:val="007A348F"/>
    <w:rsid w:val="007A3DD2"/>
    <w:rsid w:val="007A3E3F"/>
    <w:rsid w:val="007A3E50"/>
    <w:rsid w:val="007A3FEA"/>
    <w:rsid w:val="007A40A2"/>
    <w:rsid w:val="007A4471"/>
    <w:rsid w:val="007A4512"/>
    <w:rsid w:val="007A455E"/>
    <w:rsid w:val="007A460D"/>
    <w:rsid w:val="007A4612"/>
    <w:rsid w:val="007A46EC"/>
    <w:rsid w:val="007A49F2"/>
    <w:rsid w:val="007A4C93"/>
    <w:rsid w:val="007A4E54"/>
    <w:rsid w:val="007A5469"/>
    <w:rsid w:val="007A5711"/>
    <w:rsid w:val="007A57F8"/>
    <w:rsid w:val="007A5A7E"/>
    <w:rsid w:val="007A5BFA"/>
    <w:rsid w:val="007A6041"/>
    <w:rsid w:val="007A630E"/>
    <w:rsid w:val="007A6D86"/>
    <w:rsid w:val="007A6FEE"/>
    <w:rsid w:val="007A7159"/>
    <w:rsid w:val="007A73C9"/>
    <w:rsid w:val="007A749D"/>
    <w:rsid w:val="007A75A6"/>
    <w:rsid w:val="007A7B9A"/>
    <w:rsid w:val="007A7BF9"/>
    <w:rsid w:val="007A7BFA"/>
    <w:rsid w:val="007A7D4E"/>
    <w:rsid w:val="007A7E9E"/>
    <w:rsid w:val="007B0000"/>
    <w:rsid w:val="007B00AC"/>
    <w:rsid w:val="007B0174"/>
    <w:rsid w:val="007B0271"/>
    <w:rsid w:val="007B087E"/>
    <w:rsid w:val="007B0A91"/>
    <w:rsid w:val="007B0D1D"/>
    <w:rsid w:val="007B0EE5"/>
    <w:rsid w:val="007B103A"/>
    <w:rsid w:val="007B1071"/>
    <w:rsid w:val="007B10DB"/>
    <w:rsid w:val="007B11B2"/>
    <w:rsid w:val="007B11EC"/>
    <w:rsid w:val="007B1673"/>
    <w:rsid w:val="007B18E3"/>
    <w:rsid w:val="007B1A9C"/>
    <w:rsid w:val="007B1B88"/>
    <w:rsid w:val="007B217A"/>
    <w:rsid w:val="007B261C"/>
    <w:rsid w:val="007B29F3"/>
    <w:rsid w:val="007B2B75"/>
    <w:rsid w:val="007B2C9F"/>
    <w:rsid w:val="007B2D2D"/>
    <w:rsid w:val="007B2DCC"/>
    <w:rsid w:val="007B2E3F"/>
    <w:rsid w:val="007B2F25"/>
    <w:rsid w:val="007B2F5D"/>
    <w:rsid w:val="007B2FD8"/>
    <w:rsid w:val="007B3093"/>
    <w:rsid w:val="007B3110"/>
    <w:rsid w:val="007B319D"/>
    <w:rsid w:val="007B320B"/>
    <w:rsid w:val="007B3287"/>
    <w:rsid w:val="007B3438"/>
    <w:rsid w:val="007B3616"/>
    <w:rsid w:val="007B3A8C"/>
    <w:rsid w:val="007B3B16"/>
    <w:rsid w:val="007B3B39"/>
    <w:rsid w:val="007B3B7C"/>
    <w:rsid w:val="007B3BBA"/>
    <w:rsid w:val="007B3E62"/>
    <w:rsid w:val="007B407C"/>
    <w:rsid w:val="007B4D47"/>
    <w:rsid w:val="007B4EBE"/>
    <w:rsid w:val="007B4F3E"/>
    <w:rsid w:val="007B5143"/>
    <w:rsid w:val="007B53CA"/>
    <w:rsid w:val="007B5552"/>
    <w:rsid w:val="007B569E"/>
    <w:rsid w:val="007B5A8E"/>
    <w:rsid w:val="007B5F02"/>
    <w:rsid w:val="007B5F8D"/>
    <w:rsid w:val="007B6503"/>
    <w:rsid w:val="007B6648"/>
    <w:rsid w:val="007B67D0"/>
    <w:rsid w:val="007B6929"/>
    <w:rsid w:val="007B6BC4"/>
    <w:rsid w:val="007B6D65"/>
    <w:rsid w:val="007B6E81"/>
    <w:rsid w:val="007B6EBF"/>
    <w:rsid w:val="007B6FC9"/>
    <w:rsid w:val="007B702B"/>
    <w:rsid w:val="007B7283"/>
    <w:rsid w:val="007B75AE"/>
    <w:rsid w:val="007B7BFB"/>
    <w:rsid w:val="007B7DB7"/>
    <w:rsid w:val="007B7E13"/>
    <w:rsid w:val="007B7F5E"/>
    <w:rsid w:val="007B7F84"/>
    <w:rsid w:val="007B7FFD"/>
    <w:rsid w:val="007C04DF"/>
    <w:rsid w:val="007C07EC"/>
    <w:rsid w:val="007C092C"/>
    <w:rsid w:val="007C0A47"/>
    <w:rsid w:val="007C0BE1"/>
    <w:rsid w:val="007C0C16"/>
    <w:rsid w:val="007C10A9"/>
    <w:rsid w:val="007C10E9"/>
    <w:rsid w:val="007C1314"/>
    <w:rsid w:val="007C1B44"/>
    <w:rsid w:val="007C1BE9"/>
    <w:rsid w:val="007C1D34"/>
    <w:rsid w:val="007C1E08"/>
    <w:rsid w:val="007C1E5B"/>
    <w:rsid w:val="007C2004"/>
    <w:rsid w:val="007C20B2"/>
    <w:rsid w:val="007C20DB"/>
    <w:rsid w:val="007C2140"/>
    <w:rsid w:val="007C21E7"/>
    <w:rsid w:val="007C237D"/>
    <w:rsid w:val="007C23A4"/>
    <w:rsid w:val="007C2475"/>
    <w:rsid w:val="007C25BB"/>
    <w:rsid w:val="007C29E2"/>
    <w:rsid w:val="007C2B4E"/>
    <w:rsid w:val="007C2BA0"/>
    <w:rsid w:val="007C2CBC"/>
    <w:rsid w:val="007C34A1"/>
    <w:rsid w:val="007C3A1C"/>
    <w:rsid w:val="007C3BB5"/>
    <w:rsid w:val="007C3C8A"/>
    <w:rsid w:val="007C3E49"/>
    <w:rsid w:val="007C3F07"/>
    <w:rsid w:val="007C3F08"/>
    <w:rsid w:val="007C4052"/>
    <w:rsid w:val="007C43FD"/>
    <w:rsid w:val="007C4622"/>
    <w:rsid w:val="007C4738"/>
    <w:rsid w:val="007C477A"/>
    <w:rsid w:val="007C48AB"/>
    <w:rsid w:val="007C4C9D"/>
    <w:rsid w:val="007C5212"/>
    <w:rsid w:val="007C5700"/>
    <w:rsid w:val="007C5AC2"/>
    <w:rsid w:val="007C5B15"/>
    <w:rsid w:val="007C5BDC"/>
    <w:rsid w:val="007C602B"/>
    <w:rsid w:val="007C603C"/>
    <w:rsid w:val="007C610B"/>
    <w:rsid w:val="007C651A"/>
    <w:rsid w:val="007C66B8"/>
    <w:rsid w:val="007C68B2"/>
    <w:rsid w:val="007C6BB3"/>
    <w:rsid w:val="007C6C73"/>
    <w:rsid w:val="007C6DB1"/>
    <w:rsid w:val="007C6F3E"/>
    <w:rsid w:val="007C7235"/>
    <w:rsid w:val="007C724D"/>
    <w:rsid w:val="007C7276"/>
    <w:rsid w:val="007C72E1"/>
    <w:rsid w:val="007C73C0"/>
    <w:rsid w:val="007C7444"/>
    <w:rsid w:val="007C787E"/>
    <w:rsid w:val="007C7914"/>
    <w:rsid w:val="007C7A0B"/>
    <w:rsid w:val="007C7A87"/>
    <w:rsid w:val="007C7BDC"/>
    <w:rsid w:val="007C7CC8"/>
    <w:rsid w:val="007D00AE"/>
    <w:rsid w:val="007D00D7"/>
    <w:rsid w:val="007D0180"/>
    <w:rsid w:val="007D03FE"/>
    <w:rsid w:val="007D0516"/>
    <w:rsid w:val="007D0681"/>
    <w:rsid w:val="007D0771"/>
    <w:rsid w:val="007D07A1"/>
    <w:rsid w:val="007D08D6"/>
    <w:rsid w:val="007D0B4E"/>
    <w:rsid w:val="007D0B62"/>
    <w:rsid w:val="007D0DE2"/>
    <w:rsid w:val="007D1045"/>
    <w:rsid w:val="007D10B7"/>
    <w:rsid w:val="007D1151"/>
    <w:rsid w:val="007D128D"/>
    <w:rsid w:val="007D14E4"/>
    <w:rsid w:val="007D1990"/>
    <w:rsid w:val="007D1C56"/>
    <w:rsid w:val="007D1DD8"/>
    <w:rsid w:val="007D1E17"/>
    <w:rsid w:val="007D22A8"/>
    <w:rsid w:val="007D24BB"/>
    <w:rsid w:val="007D2F54"/>
    <w:rsid w:val="007D30F7"/>
    <w:rsid w:val="007D316D"/>
    <w:rsid w:val="007D34D6"/>
    <w:rsid w:val="007D3535"/>
    <w:rsid w:val="007D3978"/>
    <w:rsid w:val="007D39C1"/>
    <w:rsid w:val="007D3AD5"/>
    <w:rsid w:val="007D3B23"/>
    <w:rsid w:val="007D3E65"/>
    <w:rsid w:val="007D4059"/>
    <w:rsid w:val="007D4078"/>
    <w:rsid w:val="007D44D7"/>
    <w:rsid w:val="007D45C4"/>
    <w:rsid w:val="007D48C3"/>
    <w:rsid w:val="007D4A14"/>
    <w:rsid w:val="007D4A43"/>
    <w:rsid w:val="007D4A88"/>
    <w:rsid w:val="007D4B81"/>
    <w:rsid w:val="007D4BAD"/>
    <w:rsid w:val="007D4E00"/>
    <w:rsid w:val="007D4E35"/>
    <w:rsid w:val="007D4F2D"/>
    <w:rsid w:val="007D5204"/>
    <w:rsid w:val="007D5237"/>
    <w:rsid w:val="007D5532"/>
    <w:rsid w:val="007D5727"/>
    <w:rsid w:val="007D5FA4"/>
    <w:rsid w:val="007D5FA7"/>
    <w:rsid w:val="007D627E"/>
    <w:rsid w:val="007D6445"/>
    <w:rsid w:val="007D64AA"/>
    <w:rsid w:val="007D6592"/>
    <w:rsid w:val="007D659D"/>
    <w:rsid w:val="007D6760"/>
    <w:rsid w:val="007D6919"/>
    <w:rsid w:val="007D694E"/>
    <w:rsid w:val="007D6CCE"/>
    <w:rsid w:val="007D6EE4"/>
    <w:rsid w:val="007D707E"/>
    <w:rsid w:val="007D7324"/>
    <w:rsid w:val="007D754E"/>
    <w:rsid w:val="007D7718"/>
    <w:rsid w:val="007D7838"/>
    <w:rsid w:val="007D7860"/>
    <w:rsid w:val="007D7B2D"/>
    <w:rsid w:val="007D7E07"/>
    <w:rsid w:val="007D7FD9"/>
    <w:rsid w:val="007E00D8"/>
    <w:rsid w:val="007E0682"/>
    <w:rsid w:val="007E0689"/>
    <w:rsid w:val="007E089F"/>
    <w:rsid w:val="007E08CA"/>
    <w:rsid w:val="007E0BEE"/>
    <w:rsid w:val="007E0DC2"/>
    <w:rsid w:val="007E10EA"/>
    <w:rsid w:val="007E1103"/>
    <w:rsid w:val="007E13CB"/>
    <w:rsid w:val="007E161A"/>
    <w:rsid w:val="007E188A"/>
    <w:rsid w:val="007E19B0"/>
    <w:rsid w:val="007E1C18"/>
    <w:rsid w:val="007E1C58"/>
    <w:rsid w:val="007E2022"/>
    <w:rsid w:val="007E27FE"/>
    <w:rsid w:val="007E2878"/>
    <w:rsid w:val="007E299A"/>
    <w:rsid w:val="007E29E4"/>
    <w:rsid w:val="007E2C7A"/>
    <w:rsid w:val="007E2CAB"/>
    <w:rsid w:val="007E2D48"/>
    <w:rsid w:val="007E2E5C"/>
    <w:rsid w:val="007E3063"/>
    <w:rsid w:val="007E31CA"/>
    <w:rsid w:val="007E357E"/>
    <w:rsid w:val="007E3718"/>
    <w:rsid w:val="007E3A82"/>
    <w:rsid w:val="007E3B15"/>
    <w:rsid w:val="007E3CC3"/>
    <w:rsid w:val="007E3DC0"/>
    <w:rsid w:val="007E3F38"/>
    <w:rsid w:val="007E3FB9"/>
    <w:rsid w:val="007E4467"/>
    <w:rsid w:val="007E49B5"/>
    <w:rsid w:val="007E4A36"/>
    <w:rsid w:val="007E4AF8"/>
    <w:rsid w:val="007E4D34"/>
    <w:rsid w:val="007E4D3E"/>
    <w:rsid w:val="007E4ECB"/>
    <w:rsid w:val="007E543F"/>
    <w:rsid w:val="007E5543"/>
    <w:rsid w:val="007E56CF"/>
    <w:rsid w:val="007E57C2"/>
    <w:rsid w:val="007E57CF"/>
    <w:rsid w:val="007E57E5"/>
    <w:rsid w:val="007E5A95"/>
    <w:rsid w:val="007E5AEE"/>
    <w:rsid w:val="007E5B94"/>
    <w:rsid w:val="007E5C8A"/>
    <w:rsid w:val="007E5CBB"/>
    <w:rsid w:val="007E5DEB"/>
    <w:rsid w:val="007E6671"/>
    <w:rsid w:val="007E668F"/>
    <w:rsid w:val="007E6718"/>
    <w:rsid w:val="007E6A11"/>
    <w:rsid w:val="007E6B84"/>
    <w:rsid w:val="007E7220"/>
    <w:rsid w:val="007E7306"/>
    <w:rsid w:val="007E777E"/>
    <w:rsid w:val="007E78CC"/>
    <w:rsid w:val="007E78E8"/>
    <w:rsid w:val="007E797A"/>
    <w:rsid w:val="007E7AC4"/>
    <w:rsid w:val="007E7D26"/>
    <w:rsid w:val="007E7E47"/>
    <w:rsid w:val="007E7F78"/>
    <w:rsid w:val="007F02EA"/>
    <w:rsid w:val="007F02F9"/>
    <w:rsid w:val="007F040F"/>
    <w:rsid w:val="007F05FD"/>
    <w:rsid w:val="007F0776"/>
    <w:rsid w:val="007F0861"/>
    <w:rsid w:val="007F0A66"/>
    <w:rsid w:val="007F0AC7"/>
    <w:rsid w:val="007F0D15"/>
    <w:rsid w:val="007F11D5"/>
    <w:rsid w:val="007F1252"/>
    <w:rsid w:val="007F15DB"/>
    <w:rsid w:val="007F164A"/>
    <w:rsid w:val="007F1972"/>
    <w:rsid w:val="007F19EA"/>
    <w:rsid w:val="007F1FA2"/>
    <w:rsid w:val="007F2960"/>
    <w:rsid w:val="007F2A9E"/>
    <w:rsid w:val="007F2C54"/>
    <w:rsid w:val="007F2D34"/>
    <w:rsid w:val="007F2E70"/>
    <w:rsid w:val="007F2EE3"/>
    <w:rsid w:val="007F2FB9"/>
    <w:rsid w:val="007F3091"/>
    <w:rsid w:val="007F3517"/>
    <w:rsid w:val="007F3534"/>
    <w:rsid w:val="007F371E"/>
    <w:rsid w:val="007F393D"/>
    <w:rsid w:val="007F3C16"/>
    <w:rsid w:val="007F3C7E"/>
    <w:rsid w:val="007F3DB2"/>
    <w:rsid w:val="007F3DC5"/>
    <w:rsid w:val="007F404A"/>
    <w:rsid w:val="007F43C2"/>
    <w:rsid w:val="007F44B8"/>
    <w:rsid w:val="007F451A"/>
    <w:rsid w:val="007F489F"/>
    <w:rsid w:val="007F48D2"/>
    <w:rsid w:val="007F52FC"/>
    <w:rsid w:val="007F5562"/>
    <w:rsid w:val="007F5694"/>
    <w:rsid w:val="007F58E1"/>
    <w:rsid w:val="007F5A7A"/>
    <w:rsid w:val="007F5C9D"/>
    <w:rsid w:val="007F5E5C"/>
    <w:rsid w:val="007F5F23"/>
    <w:rsid w:val="007F6229"/>
    <w:rsid w:val="007F6342"/>
    <w:rsid w:val="007F637B"/>
    <w:rsid w:val="007F6399"/>
    <w:rsid w:val="007F63FA"/>
    <w:rsid w:val="007F64EB"/>
    <w:rsid w:val="007F6FB6"/>
    <w:rsid w:val="007F7025"/>
    <w:rsid w:val="007F70C4"/>
    <w:rsid w:val="007F7135"/>
    <w:rsid w:val="007F718F"/>
    <w:rsid w:val="007F7286"/>
    <w:rsid w:val="007F7652"/>
    <w:rsid w:val="007F77B2"/>
    <w:rsid w:val="007F7C28"/>
    <w:rsid w:val="007F7C65"/>
    <w:rsid w:val="007F7E7D"/>
    <w:rsid w:val="00800149"/>
    <w:rsid w:val="00800368"/>
    <w:rsid w:val="00800402"/>
    <w:rsid w:val="0080049E"/>
    <w:rsid w:val="008006F6"/>
    <w:rsid w:val="00800A25"/>
    <w:rsid w:val="00800A9A"/>
    <w:rsid w:val="00800DBF"/>
    <w:rsid w:val="00800E0E"/>
    <w:rsid w:val="0080173F"/>
    <w:rsid w:val="00801805"/>
    <w:rsid w:val="0080194F"/>
    <w:rsid w:val="00801AC2"/>
    <w:rsid w:val="00801C55"/>
    <w:rsid w:val="00801DB9"/>
    <w:rsid w:val="00801ED1"/>
    <w:rsid w:val="008020C5"/>
    <w:rsid w:val="00802147"/>
    <w:rsid w:val="0080221E"/>
    <w:rsid w:val="0080225F"/>
    <w:rsid w:val="008028BD"/>
    <w:rsid w:val="00802919"/>
    <w:rsid w:val="00802A1D"/>
    <w:rsid w:val="00802E17"/>
    <w:rsid w:val="00802E90"/>
    <w:rsid w:val="00802F09"/>
    <w:rsid w:val="00803324"/>
    <w:rsid w:val="008034B1"/>
    <w:rsid w:val="008034CB"/>
    <w:rsid w:val="008034F5"/>
    <w:rsid w:val="00804066"/>
    <w:rsid w:val="008045AD"/>
    <w:rsid w:val="008046FF"/>
    <w:rsid w:val="008048F4"/>
    <w:rsid w:val="00804ACD"/>
    <w:rsid w:val="00804C75"/>
    <w:rsid w:val="00804CAE"/>
    <w:rsid w:val="00804FF3"/>
    <w:rsid w:val="00805013"/>
    <w:rsid w:val="0080502A"/>
    <w:rsid w:val="008050AB"/>
    <w:rsid w:val="008050E5"/>
    <w:rsid w:val="00805658"/>
    <w:rsid w:val="0080571E"/>
    <w:rsid w:val="00805765"/>
    <w:rsid w:val="00805790"/>
    <w:rsid w:val="00805A47"/>
    <w:rsid w:val="00805F05"/>
    <w:rsid w:val="00805F40"/>
    <w:rsid w:val="0080641D"/>
    <w:rsid w:val="008064A7"/>
    <w:rsid w:val="008064DA"/>
    <w:rsid w:val="008069C8"/>
    <w:rsid w:val="00806C1D"/>
    <w:rsid w:val="00806DF5"/>
    <w:rsid w:val="00807208"/>
    <w:rsid w:val="008072F7"/>
    <w:rsid w:val="00807372"/>
    <w:rsid w:val="0080750A"/>
    <w:rsid w:val="00807536"/>
    <w:rsid w:val="0080763B"/>
    <w:rsid w:val="00807709"/>
    <w:rsid w:val="00807733"/>
    <w:rsid w:val="008077C8"/>
    <w:rsid w:val="0080792F"/>
    <w:rsid w:val="008079BF"/>
    <w:rsid w:val="00807B5C"/>
    <w:rsid w:val="00807BE3"/>
    <w:rsid w:val="00807C85"/>
    <w:rsid w:val="00807E63"/>
    <w:rsid w:val="00807ED6"/>
    <w:rsid w:val="00807F59"/>
    <w:rsid w:val="008100C7"/>
    <w:rsid w:val="00810293"/>
    <w:rsid w:val="00810317"/>
    <w:rsid w:val="0081036C"/>
    <w:rsid w:val="0081088B"/>
    <w:rsid w:val="0081099B"/>
    <w:rsid w:val="00810C35"/>
    <w:rsid w:val="00810D26"/>
    <w:rsid w:val="00810D78"/>
    <w:rsid w:val="00810E26"/>
    <w:rsid w:val="00811068"/>
    <w:rsid w:val="0081149C"/>
    <w:rsid w:val="00811B40"/>
    <w:rsid w:val="00811BCF"/>
    <w:rsid w:val="00811EE9"/>
    <w:rsid w:val="00811EFD"/>
    <w:rsid w:val="0081217F"/>
    <w:rsid w:val="00812381"/>
    <w:rsid w:val="008124E4"/>
    <w:rsid w:val="008126AB"/>
    <w:rsid w:val="00812838"/>
    <w:rsid w:val="00812C97"/>
    <w:rsid w:val="008132CB"/>
    <w:rsid w:val="008134BA"/>
    <w:rsid w:val="00813565"/>
    <w:rsid w:val="00813607"/>
    <w:rsid w:val="00813857"/>
    <w:rsid w:val="00813868"/>
    <w:rsid w:val="008138EB"/>
    <w:rsid w:val="00813CA7"/>
    <w:rsid w:val="00813DEA"/>
    <w:rsid w:val="00813EAF"/>
    <w:rsid w:val="00813F4A"/>
    <w:rsid w:val="00814271"/>
    <w:rsid w:val="00814352"/>
    <w:rsid w:val="008144B2"/>
    <w:rsid w:val="00814511"/>
    <w:rsid w:val="00814663"/>
    <w:rsid w:val="0081475A"/>
    <w:rsid w:val="00814B91"/>
    <w:rsid w:val="00814BE2"/>
    <w:rsid w:val="00814BE4"/>
    <w:rsid w:val="00814C24"/>
    <w:rsid w:val="00814FF9"/>
    <w:rsid w:val="00815185"/>
    <w:rsid w:val="008152C2"/>
    <w:rsid w:val="00815A78"/>
    <w:rsid w:val="00815C2C"/>
    <w:rsid w:val="00816112"/>
    <w:rsid w:val="00816368"/>
    <w:rsid w:val="00816422"/>
    <w:rsid w:val="0081645C"/>
    <w:rsid w:val="00816702"/>
    <w:rsid w:val="00816925"/>
    <w:rsid w:val="00816ADA"/>
    <w:rsid w:val="0081703B"/>
    <w:rsid w:val="00817291"/>
    <w:rsid w:val="008172DF"/>
    <w:rsid w:val="008174A0"/>
    <w:rsid w:val="00817608"/>
    <w:rsid w:val="00817A87"/>
    <w:rsid w:val="00817C67"/>
    <w:rsid w:val="0082012E"/>
    <w:rsid w:val="008202A6"/>
    <w:rsid w:val="00820691"/>
    <w:rsid w:val="00820B89"/>
    <w:rsid w:val="00820BB2"/>
    <w:rsid w:val="00820C10"/>
    <w:rsid w:val="00820E9B"/>
    <w:rsid w:val="00820F43"/>
    <w:rsid w:val="008214C4"/>
    <w:rsid w:val="008214D2"/>
    <w:rsid w:val="008218E8"/>
    <w:rsid w:val="00821BED"/>
    <w:rsid w:val="008223C8"/>
    <w:rsid w:val="00822BBB"/>
    <w:rsid w:val="00822F38"/>
    <w:rsid w:val="0082316E"/>
    <w:rsid w:val="0082393E"/>
    <w:rsid w:val="00823A58"/>
    <w:rsid w:val="00823C5D"/>
    <w:rsid w:val="00824021"/>
    <w:rsid w:val="0082425D"/>
    <w:rsid w:val="008243AF"/>
    <w:rsid w:val="00824511"/>
    <w:rsid w:val="00824570"/>
    <w:rsid w:val="00824606"/>
    <w:rsid w:val="008248B1"/>
    <w:rsid w:val="008249D0"/>
    <w:rsid w:val="00824AE2"/>
    <w:rsid w:val="00825169"/>
    <w:rsid w:val="00825317"/>
    <w:rsid w:val="008254AD"/>
    <w:rsid w:val="008255CF"/>
    <w:rsid w:val="00826276"/>
    <w:rsid w:val="008262CC"/>
    <w:rsid w:val="00826592"/>
    <w:rsid w:val="008265E5"/>
    <w:rsid w:val="0082662C"/>
    <w:rsid w:val="008266EC"/>
    <w:rsid w:val="00826875"/>
    <w:rsid w:val="008268A3"/>
    <w:rsid w:val="008268F3"/>
    <w:rsid w:val="00826B4E"/>
    <w:rsid w:val="00826CBB"/>
    <w:rsid w:val="00826CEE"/>
    <w:rsid w:val="00826D35"/>
    <w:rsid w:val="00826F28"/>
    <w:rsid w:val="00827056"/>
    <w:rsid w:val="00827160"/>
    <w:rsid w:val="008273D0"/>
    <w:rsid w:val="00827A17"/>
    <w:rsid w:val="00827A61"/>
    <w:rsid w:val="00827B5E"/>
    <w:rsid w:val="0083012B"/>
    <w:rsid w:val="0083020F"/>
    <w:rsid w:val="00830717"/>
    <w:rsid w:val="008308B3"/>
    <w:rsid w:val="008312AB"/>
    <w:rsid w:val="008313FB"/>
    <w:rsid w:val="00831890"/>
    <w:rsid w:val="008319BC"/>
    <w:rsid w:val="008319EF"/>
    <w:rsid w:val="00831AD0"/>
    <w:rsid w:val="00831BAA"/>
    <w:rsid w:val="00831E28"/>
    <w:rsid w:val="00831E71"/>
    <w:rsid w:val="00831F3C"/>
    <w:rsid w:val="008324BA"/>
    <w:rsid w:val="00832C7E"/>
    <w:rsid w:val="00832D0A"/>
    <w:rsid w:val="00832F29"/>
    <w:rsid w:val="00833135"/>
    <w:rsid w:val="008332CC"/>
    <w:rsid w:val="00833408"/>
    <w:rsid w:val="00833739"/>
    <w:rsid w:val="00833878"/>
    <w:rsid w:val="00833AAE"/>
    <w:rsid w:val="00833C69"/>
    <w:rsid w:val="00833D7F"/>
    <w:rsid w:val="00833E28"/>
    <w:rsid w:val="0083408D"/>
    <w:rsid w:val="00834265"/>
    <w:rsid w:val="008348CC"/>
    <w:rsid w:val="00834EDF"/>
    <w:rsid w:val="00834F48"/>
    <w:rsid w:val="00835028"/>
    <w:rsid w:val="0083517D"/>
    <w:rsid w:val="0083526F"/>
    <w:rsid w:val="008353C4"/>
    <w:rsid w:val="008353EB"/>
    <w:rsid w:val="0083540B"/>
    <w:rsid w:val="008354AF"/>
    <w:rsid w:val="008356D2"/>
    <w:rsid w:val="008358FC"/>
    <w:rsid w:val="00835925"/>
    <w:rsid w:val="00835B59"/>
    <w:rsid w:val="008361DD"/>
    <w:rsid w:val="008362A8"/>
    <w:rsid w:val="00836342"/>
    <w:rsid w:val="0083650E"/>
    <w:rsid w:val="008366D6"/>
    <w:rsid w:val="00836772"/>
    <w:rsid w:val="00836815"/>
    <w:rsid w:val="008369C6"/>
    <w:rsid w:val="00836C37"/>
    <w:rsid w:val="00836D65"/>
    <w:rsid w:val="008371A3"/>
    <w:rsid w:val="008374EF"/>
    <w:rsid w:val="00837ACE"/>
    <w:rsid w:val="00837D14"/>
    <w:rsid w:val="00837E46"/>
    <w:rsid w:val="0084007C"/>
    <w:rsid w:val="00840158"/>
    <w:rsid w:val="008403A7"/>
    <w:rsid w:val="008403E9"/>
    <w:rsid w:val="008407F5"/>
    <w:rsid w:val="00840C45"/>
    <w:rsid w:val="00841092"/>
    <w:rsid w:val="008414AA"/>
    <w:rsid w:val="008414D4"/>
    <w:rsid w:val="0084197E"/>
    <w:rsid w:val="00841E17"/>
    <w:rsid w:val="00841E7E"/>
    <w:rsid w:val="00841EC8"/>
    <w:rsid w:val="0084202C"/>
    <w:rsid w:val="008426A9"/>
    <w:rsid w:val="0084277C"/>
    <w:rsid w:val="00842868"/>
    <w:rsid w:val="008428AB"/>
    <w:rsid w:val="00842ECC"/>
    <w:rsid w:val="008432CA"/>
    <w:rsid w:val="00843818"/>
    <w:rsid w:val="00843ABA"/>
    <w:rsid w:val="00843D14"/>
    <w:rsid w:val="00843D91"/>
    <w:rsid w:val="0084409D"/>
    <w:rsid w:val="008440CB"/>
    <w:rsid w:val="0084426F"/>
    <w:rsid w:val="0084437A"/>
    <w:rsid w:val="00844CA6"/>
    <w:rsid w:val="00844D15"/>
    <w:rsid w:val="00844D2E"/>
    <w:rsid w:val="00844D40"/>
    <w:rsid w:val="00844D8C"/>
    <w:rsid w:val="00844FA4"/>
    <w:rsid w:val="00845003"/>
    <w:rsid w:val="008453FB"/>
    <w:rsid w:val="0084543E"/>
    <w:rsid w:val="0084545A"/>
    <w:rsid w:val="008455E7"/>
    <w:rsid w:val="00845800"/>
    <w:rsid w:val="00845A4B"/>
    <w:rsid w:val="00845FBA"/>
    <w:rsid w:val="00846056"/>
    <w:rsid w:val="008460FF"/>
    <w:rsid w:val="0084616A"/>
    <w:rsid w:val="008462C8"/>
    <w:rsid w:val="008463AB"/>
    <w:rsid w:val="0084665B"/>
    <w:rsid w:val="00846C6D"/>
    <w:rsid w:val="00846D01"/>
    <w:rsid w:val="00846D9C"/>
    <w:rsid w:val="00847053"/>
    <w:rsid w:val="008470BB"/>
    <w:rsid w:val="00847599"/>
    <w:rsid w:val="0084768E"/>
    <w:rsid w:val="008476CB"/>
    <w:rsid w:val="00847A44"/>
    <w:rsid w:val="00847AE5"/>
    <w:rsid w:val="00847C3A"/>
    <w:rsid w:val="00847F6B"/>
    <w:rsid w:val="00847F95"/>
    <w:rsid w:val="00847FC8"/>
    <w:rsid w:val="00847FEE"/>
    <w:rsid w:val="00850436"/>
    <w:rsid w:val="008506BA"/>
    <w:rsid w:val="008506EB"/>
    <w:rsid w:val="0085089F"/>
    <w:rsid w:val="00850914"/>
    <w:rsid w:val="00850A65"/>
    <w:rsid w:val="008513AD"/>
    <w:rsid w:val="00851484"/>
    <w:rsid w:val="0085148A"/>
    <w:rsid w:val="00851A70"/>
    <w:rsid w:val="00851D6A"/>
    <w:rsid w:val="00851DBD"/>
    <w:rsid w:val="00851F2D"/>
    <w:rsid w:val="00852310"/>
    <w:rsid w:val="008525EA"/>
    <w:rsid w:val="00852602"/>
    <w:rsid w:val="00852B7F"/>
    <w:rsid w:val="00852DC5"/>
    <w:rsid w:val="00852DF4"/>
    <w:rsid w:val="0085334E"/>
    <w:rsid w:val="00853661"/>
    <w:rsid w:val="008536C0"/>
    <w:rsid w:val="008537FC"/>
    <w:rsid w:val="0085396A"/>
    <w:rsid w:val="008539AB"/>
    <w:rsid w:val="00853A09"/>
    <w:rsid w:val="00853E8A"/>
    <w:rsid w:val="00854018"/>
    <w:rsid w:val="00854149"/>
    <w:rsid w:val="0085417C"/>
    <w:rsid w:val="008542F4"/>
    <w:rsid w:val="00854306"/>
    <w:rsid w:val="0085434C"/>
    <w:rsid w:val="0085451D"/>
    <w:rsid w:val="008545A2"/>
    <w:rsid w:val="008545F3"/>
    <w:rsid w:val="00854626"/>
    <w:rsid w:val="00854868"/>
    <w:rsid w:val="00854C6C"/>
    <w:rsid w:val="00854DEE"/>
    <w:rsid w:val="00854E98"/>
    <w:rsid w:val="00854EC0"/>
    <w:rsid w:val="008554D3"/>
    <w:rsid w:val="008555B9"/>
    <w:rsid w:val="00855B6B"/>
    <w:rsid w:val="00856022"/>
    <w:rsid w:val="00856218"/>
    <w:rsid w:val="0085625F"/>
    <w:rsid w:val="00856ABF"/>
    <w:rsid w:val="00856B68"/>
    <w:rsid w:val="00856BA8"/>
    <w:rsid w:val="00856DC8"/>
    <w:rsid w:val="00856EAD"/>
    <w:rsid w:val="00857425"/>
    <w:rsid w:val="0085772A"/>
    <w:rsid w:val="00857862"/>
    <w:rsid w:val="00857B26"/>
    <w:rsid w:val="00857E22"/>
    <w:rsid w:val="00860182"/>
    <w:rsid w:val="008604BD"/>
    <w:rsid w:val="0086054A"/>
    <w:rsid w:val="008608E0"/>
    <w:rsid w:val="00860B10"/>
    <w:rsid w:val="00860BCD"/>
    <w:rsid w:val="00860D6C"/>
    <w:rsid w:val="00860DA9"/>
    <w:rsid w:val="00860DCF"/>
    <w:rsid w:val="00860E5B"/>
    <w:rsid w:val="0086108C"/>
    <w:rsid w:val="008612FD"/>
    <w:rsid w:val="0086149A"/>
    <w:rsid w:val="008616C8"/>
    <w:rsid w:val="00861730"/>
    <w:rsid w:val="00861868"/>
    <w:rsid w:val="00861A19"/>
    <w:rsid w:val="00861CDE"/>
    <w:rsid w:val="0086203E"/>
    <w:rsid w:val="00862301"/>
    <w:rsid w:val="00862309"/>
    <w:rsid w:val="00862721"/>
    <w:rsid w:val="00862CBE"/>
    <w:rsid w:val="00862F36"/>
    <w:rsid w:val="00863171"/>
    <w:rsid w:val="008633AD"/>
    <w:rsid w:val="008633BE"/>
    <w:rsid w:val="00863431"/>
    <w:rsid w:val="008635A5"/>
    <w:rsid w:val="008637D2"/>
    <w:rsid w:val="008638EC"/>
    <w:rsid w:val="008639FF"/>
    <w:rsid w:val="00863BA9"/>
    <w:rsid w:val="0086410B"/>
    <w:rsid w:val="00864324"/>
    <w:rsid w:val="0086462C"/>
    <w:rsid w:val="00864934"/>
    <w:rsid w:val="008649EF"/>
    <w:rsid w:val="008649F6"/>
    <w:rsid w:val="00864FD7"/>
    <w:rsid w:val="00865039"/>
    <w:rsid w:val="00865051"/>
    <w:rsid w:val="0086554F"/>
    <w:rsid w:val="008655C0"/>
    <w:rsid w:val="00865764"/>
    <w:rsid w:val="00865856"/>
    <w:rsid w:val="00865909"/>
    <w:rsid w:val="008664FC"/>
    <w:rsid w:val="00866812"/>
    <w:rsid w:val="00866DBB"/>
    <w:rsid w:val="0086709C"/>
    <w:rsid w:val="0086726F"/>
    <w:rsid w:val="00867541"/>
    <w:rsid w:val="0086782B"/>
    <w:rsid w:val="00867908"/>
    <w:rsid w:val="00867924"/>
    <w:rsid w:val="00867D9C"/>
    <w:rsid w:val="00867E92"/>
    <w:rsid w:val="00867EB3"/>
    <w:rsid w:val="00867FF1"/>
    <w:rsid w:val="008700B4"/>
    <w:rsid w:val="00870111"/>
    <w:rsid w:val="00870552"/>
    <w:rsid w:val="0087061C"/>
    <w:rsid w:val="008706DE"/>
    <w:rsid w:val="0087094F"/>
    <w:rsid w:val="00870BE9"/>
    <w:rsid w:val="00870BF3"/>
    <w:rsid w:val="00870C37"/>
    <w:rsid w:val="00870DD1"/>
    <w:rsid w:val="00870FDF"/>
    <w:rsid w:val="00871156"/>
    <w:rsid w:val="008713DE"/>
    <w:rsid w:val="008716AE"/>
    <w:rsid w:val="0087175F"/>
    <w:rsid w:val="00871BBB"/>
    <w:rsid w:val="00871F5A"/>
    <w:rsid w:val="008722C8"/>
    <w:rsid w:val="00872737"/>
    <w:rsid w:val="0087294C"/>
    <w:rsid w:val="008729C7"/>
    <w:rsid w:val="00872B8C"/>
    <w:rsid w:val="00872DBD"/>
    <w:rsid w:val="0087361C"/>
    <w:rsid w:val="008737AC"/>
    <w:rsid w:val="00873D1A"/>
    <w:rsid w:val="0087404E"/>
    <w:rsid w:val="00874098"/>
    <w:rsid w:val="00874424"/>
    <w:rsid w:val="008744C7"/>
    <w:rsid w:val="00874550"/>
    <w:rsid w:val="00874DA9"/>
    <w:rsid w:val="00874DC7"/>
    <w:rsid w:val="00874E16"/>
    <w:rsid w:val="00875461"/>
    <w:rsid w:val="00875A52"/>
    <w:rsid w:val="00875AB2"/>
    <w:rsid w:val="00875FA0"/>
    <w:rsid w:val="0087613A"/>
    <w:rsid w:val="008764A9"/>
    <w:rsid w:val="008764B2"/>
    <w:rsid w:val="008767B2"/>
    <w:rsid w:val="008767EC"/>
    <w:rsid w:val="008768D3"/>
    <w:rsid w:val="00876B29"/>
    <w:rsid w:val="00876E31"/>
    <w:rsid w:val="00876EDA"/>
    <w:rsid w:val="00877031"/>
    <w:rsid w:val="00877C8C"/>
    <w:rsid w:val="008800C7"/>
    <w:rsid w:val="00880351"/>
    <w:rsid w:val="008807BE"/>
    <w:rsid w:val="0088081D"/>
    <w:rsid w:val="00880AA6"/>
    <w:rsid w:val="00880B62"/>
    <w:rsid w:val="00880BC2"/>
    <w:rsid w:val="008813F8"/>
    <w:rsid w:val="008814AF"/>
    <w:rsid w:val="008814E2"/>
    <w:rsid w:val="008818DC"/>
    <w:rsid w:val="00881A8E"/>
    <w:rsid w:val="00881AFD"/>
    <w:rsid w:val="00881D67"/>
    <w:rsid w:val="0088201E"/>
    <w:rsid w:val="00882141"/>
    <w:rsid w:val="00882576"/>
    <w:rsid w:val="00882F64"/>
    <w:rsid w:val="00883005"/>
    <w:rsid w:val="00883090"/>
    <w:rsid w:val="0088310C"/>
    <w:rsid w:val="00883394"/>
    <w:rsid w:val="008833B5"/>
    <w:rsid w:val="008835CF"/>
    <w:rsid w:val="008837DF"/>
    <w:rsid w:val="00883973"/>
    <w:rsid w:val="00883991"/>
    <w:rsid w:val="00884AA1"/>
    <w:rsid w:val="00884AEB"/>
    <w:rsid w:val="00884B33"/>
    <w:rsid w:val="008851EB"/>
    <w:rsid w:val="008853AD"/>
    <w:rsid w:val="0088569A"/>
    <w:rsid w:val="0088576E"/>
    <w:rsid w:val="00885820"/>
    <w:rsid w:val="00885B03"/>
    <w:rsid w:val="00885B19"/>
    <w:rsid w:val="00885DFC"/>
    <w:rsid w:val="0088603B"/>
    <w:rsid w:val="00886051"/>
    <w:rsid w:val="0088606F"/>
    <w:rsid w:val="00886341"/>
    <w:rsid w:val="008868C8"/>
    <w:rsid w:val="0088697B"/>
    <w:rsid w:val="008869D3"/>
    <w:rsid w:val="00886AE8"/>
    <w:rsid w:val="00886EAD"/>
    <w:rsid w:val="00886EBD"/>
    <w:rsid w:val="00887058"/>
    <w:rsid w:val="008873AD"/>
    <w:rsid w:val="008874D1"/>
    <w:rsid w:val="00887A53"/>
    <w:rsid w:val="00887BD3"/>
    <w:rsid w:val="00887F21"/>
    <w:rsid w:val="0089033F"/>
    <w:rsid w:val="008904EA"/>
    <w:rsid w:val="00890694"/>
    <w:rsid w:val="0089080A"/>
    <w:rsid w:val="0089089B"/>
    <w:rsid w:val="00890E67"/>
    <w:rsid w:val="00890F5B"/>
    <w:rsid w:val="00891617"/>
    <w:rsid w:val="008918C7"/>
    <w:rsid w:val="00891C0F"/>
    <w:rsid w:val="00891C9A"/>
    <w:rsid w:val="00891DF5"/>
    <w:rsid w:val="00892124"/>
    <w:rsid w:val="0089219D"/>
    <w:rsid w:val="008924BA"/>
    <w:rsid w:val="00892529"/>
    <w:rsid w:val="008925D0"/>
    <w:rsid w:val="008926BA"/>
    <w:rsid w:val="00892D71"/>
    <w:rsid w:val="00893053"/>
    <w:rsid w:val="00893641"/>
    <w:rsid w:val="008936DA"/>
    <w:rsid w:val="00893839"/>
    <w:rsid w:val="008938D6"/>
    <w:rsid w:val="00893C77"/>
    <w:rsid w:val="00893CC0"/>
    <w:rsid w:val="00893ED3"/>
    <w:rsid w:val="00893FEE"/>
    <w:rsid w:val="00894043"/>
    <w:rsid w:val="0089429A"/>
    <w:rsid w:val="00894A24"/>
    <w:rsid w:val="00894C93"/>
    <w:rsid w:val="00894E45"/>
    <w:rsid w:val="00894E58"/>
    <w:rsid w:val="00894E68"/>
    <w:rsid w:val="00894E93"/>
    <w:rsid w:val="0089519E"/>
    <w:rsid w:val="0089521E"/>
    <w:rsid w:val="008953FD"/>
    <w:rsid w:val="00895814"/>
    <w:rsid w:val="008958A9"/>
    <w:rsid w:val="00896512"/>
    <w:rsid w:val="008967B6"/>
    <w:rsid w:val="00896A2D"/>
    <w:rsid w:val="00896B18"/>
    <w:rsid w:val="00896E9C"/>
    <w:rsid w:val="00897122"/>
    <w:rsid w:val="00897186"/>
    <w:rsid w:val="00897445"/>
    <w:rsid w:val="008977AE"/>
    <w:rsid w:val="00897920"/>
    <w:rsid w:val="00897B7F"/>
    <w:rsid w:val="00897C1A"/>
    <w:rsid w:val="00897D99"/>
    <w:rsid w:val="008A041A"/>
    <w:rsid w:val="008A045A"/>
    <w:rsid w:val="008A0680"/>
    <w:rsid w:val="008A0D09"/>
    <w:rsid w:val="008A1140"/>
    <w:rsid w:val="008A13BC"/>
    <w:rsid w:val="008A1676"/>
    <w:rsid w:val="008A1776"/>
    <w:rsid w:val="008A178F"/>
    <w:rsid w:val="008A1E46"/>
    <w:rsid w:val="008A2155"/>
    <w:rsid w:val="008A21B2"/>
    <w:rsid w:val="008A238E"/>
    <w:rsid w:val="008A2963"/>
    <w:rsid w:val="008A2C56"/>
    <w:rsid w:val="008A2D32"/>
    <w:rsid w:val="008A340F"/>
    <w:rsid w:val="008A3629"/>
    <w:rsid w:val="008A3791"/>
    <w:rsid w:val="008A380F"/>
    <w:rsid w:val="008A3B18"/>
    <w:rsid w:val="008A4144"/>
    <w:rsid w:val="008A4286"/>
    <w:rsid w:val="008A4C8F"/>
    <w:rsid w:val="008A4E5A"/>
    <w:rsid w:val="008A4EEE"/>
    <w:rsid w:val="008A4F8F"/>
    <w:rsid w:val="008A502B"/>
    <w:rsid w:val="008A51F1"/>
    <w:rsid w:val="008A5388"/>
    <w:rsid w:val="008A581D"/>
    <w:rsid w:val="008A5C44"/>
    <w:rsid w:val="008A6183"/>
    <w:rsid w:val="008A61BD"/>
    <w:rsid w:val="008A6362"/>
    <w:rsid w:val="008A6443"/>
    <w:rsid w:val="008A64E6"/>
    <w:rsid w:val="008A650F"/>
    <w:rsid w:val="008A6532"/>
    <w:rsid w:val="008A66F2"/>
    <w:rsid w:val="008A6BFC"/>
    <w:rsid w:val="008A706D"/>
    <w:rsid w:val="008A713C"/>
    <w:rsid w:val="008A7420"/>
    <w:rsid w:val="008A74EF"/>
    <w:rsid w:val="008A7582"/>
    <w:rsid w:val="008A7B3F"/>
    <w:rsid w:val="008A7B86"/>
    <w:rsid w:val="008A7C6C"/>
    <w:rsid w:val="008B0096"/>
    <w:rsid w:val="008B0165"/>
    <w:rsid w:val="008B0582"/>
    <w:rsid w:val="008B0698"/>
    <w:rsid w:val="008B0CC8"/>
    <w:rsid w:val="008B0E50"/>
    <w:rsid w:val="008B100B"/>
    <w:rsid w:val="008B1026"/>
    <w:rsid w:val="008B123F"/>
    <w:rsid w:val="008B13BE"/>
    <w:rsid w:val="008B15A6"/>
    <w:rsid w:val="008B1CF9"/>
    <w:rsid w:val="008B1EA8"/>
    <w:rsid w:val="008B2917"/>
    <w:rsid w:val="008B29F1"/>
    <w:rsid w:val="008B2C43"/>
    <w:rsid w:val="008B3125"/>
    <w:rsid w:val="008B36B6"/>
    <w:rsid w:val="008B3844"/>
    <w:rsid w:val="008B38C7"/>
    <w:rsid w:val="008B3CE7"/>
    <w:rsid w:val="008B3DDC"/>
    <w:rsid w:val="008B3E0A"/>
    <w:rsid w:val="008B3E42"/>
    <w:rsid w:val="008B3EDE"/>
    <w:rsid w:val="008B41B6"/>
    <w:rsid w:val="008B4254"/>
    <w:rsid w:val="008B438A"/>
    <w:rsid w:val="008B44AF"/>
    <w:rsid w:val="008B44E4"/>
    <w:rsid w:val="008B48BD"/>
    <w:rsid w:val="008B49AE"/>
    <w:rsid w:val="008B4E11"/>
    <w:rsid w:val="008B4E43"/>
    <w:rsid w:val="008B4E5F"/>
    <w:rsid w:val="008B4EBF"/>
    <w:rsid w:val="008B4EDD"/>
    <w:rsid w:val="008B52CF"/>
    <w:rsid w:val="008B5409"/>
    <w:rsid w:val="008B54C5"/>
    <w:rsid w:val="008B5702"/>
    <w:rsid w:val="008B5775"/>
    <w:rsid w:val="008B5A24"/>
    <w:rsid w:val="008B5C6D"/>
    <w:rsid w:val="008B5E64"/>
    <w:rsid w:val="008B604C"/>
    <w:rsid w:val="008B6237"/>
    <w:rsid w:val="008B6254"/>
    <w:rsid w:val="008B6669"/>
    <w:rsid w:val="008B6849"/>
    <w:rsid w:val="008B6C7F"/>
    <w:rsid w:val="008B7023"/>
    <w:rsid w:val="008B7163"/>
    <w:rsid w:val="008B71BC"/>
    <w:rsid w:val="008B73D8"/>
    <w:rsid w:val="008B757E"/>
    <w:rsid w:val="008B75D6"/>
    <w:rsid w:val="008B75E0"/>
    <w:rsid w:val="008B789B"/>
    <w:rsid w:val="008B7A50"/>
    <w:rsid w:val="008B7BFB"/>
    <w:rsid w:val="008C034A"/>
    <w:rsid w:val="008C102B"/>
    <w:rsid w:val="008C102D"/>
    <w:rsid w:val="008C1261"/>
    <w:rsid w:val="008C1387"/>
    <w:rsid w:val="008C1552"/>
    <w:rsid w:val="008C19D2"/>
    <w:rsid w:val="008C1ADF"/>
    <w:rsid w:val="008C22C0"/>
    <w:rsid w:val="008C23C8"/>
    <w:rsid w:val="008C241C"/>
    <w:rsid w:val="008C269E"/>
    <w:rsid w:val="008C26CA"/>
    <w:rsid w:val="008C2B04"/>
    <w:rsid w:val="008C2B46"/>
    <w:rsid w:val="008C2EA6"/>
    <w:rsid w:val="008C3023"/>
    <w:rsid w:val="008C3521"/>
    <w:rsid w:val="008C35FA"/>
    <w:rsid w:val="008C378D"/>
    <w:rsid w:val="008C38BC"/>
    <w:rsid w:val="008C42DB"/>
    <w:rsid w:val="008C4604"/>
    <w:rsid w:val="008C4B07"/>
    <w:rsid w:val="008C4D2D"/>
    <w:rsid w:val="008C4D41"/>
    <w:rsid w:val="008C4D76"/>
    <w:rsid w:val="008C4E1B"/>
    <w:rsid w:val="008C4EA3"/>
    <w:rsid w:val="008C4FE6"/>
    <w:rsid w:val="008C5024"/>
    <w:rsid w:val="008C5196"/>
    <w:rsid w:val="008C5273"/>
    <w:rsid w:val="008C5410"/>
    <w:rsid w:val="008C552C"/>
    <w:rsid w:val="008C5712"/>
    <w:rsid w:val="008C5BDB"/>
    <w:rsid w:val="008C5D1D"/>
    <w:rsid w:val="008C5E3A"/>
    <w:rsid w:val="008C5E72"/>
    <w:rsid w:val="008C5F0C"/>
    <w:rsid w:val="008C6056"/>
    <w:rsid w:val="008C6335"/>
    <w:rsid w:val="008C640A"/>
    <w:rsid w:val="008C6549"/>
    <w:rsid w:val="008C6689"/>
    <w:rsid w:val="008C67E6"/>
    <w:rsid w:val="008C67FA"/>
    <w:rsid w:val="008C6875"/>
    <w:rsid w:val="008C6915"/>
    <w:rsid w:val="008C6BF1"/>
    <w:rsid w:val="008C6D77"/>
    <w:rsid w:val="008C707F"/>
    <w:rsid w:val="008C71ED"/>
    <w:rsid w:val="008C7498"/>
    <w:rsid w:val="008C75C3"/>
    <w:rsid w:val="008C76A8"/>
    <w:rsid w:val="008C7733"/>
    <w:rsid w:val="008C7A7F"/>
    <w:rsid w:val="008D020E"/>
    <w:rsid w:val="008D0232"/>
    <w:rsid w:val="008D0365"/>
    <w:rsid w:val="008D042C"/>
    <w:rsid w:val="008D072A"/>
    <w:rsid w:val="008D07A8"/>
    <w:rsid w:val="008D0C63"/>
    <w:rsid w:val="008D0DB8"/>
    <w:rsid w:val="008D1325"/>
    <w:rsid w:val="008D13EF"/>
    <w:rsid w:val="008D1425"/>
    <w:rsid w:val="008D14A4"/>
    <w:rsid w:val="008D1A5A"/>
    <w:rsid w:val="008D1E95"/>
    <w:rsid w:val="008D2270"/>
    <w:rsid w:val="008D22C0"/>
    <w:rsid w:val="008D25FC"/>
    <w:rsid w:val="008D268C"/>
    <w:rsid w:val="008D2791"/>
    <w:rsid w:val="008D2B36"/>
    <w:rsid w:val="008D2C4E"/>
    <w:rsid w:val="008D2E62"/>
    <w:rsid w:val="008D30A5"/>
    <w:rsid w:val="008D312C"/>
    <w:rsid w:val="008D3133"/>
    <w:rsid w:val="008D3257"/>
    <w:rsid w:val="008D329F"/>
    <w:rsid w:val="008D3462"/>
    <w:rsid w:val="008D353A"/>
    <w:rsid w:val="008D358B"/>
    <w:rsid w:val="008D3637"/>
    <w:rsid w:val="008D37C6"/>
    <w:rsid w:val="008D38C1"/>
    <w:rsid w:val="008D3CAE"/>
    <w:rsid w:val="008D410B"/>
    <w:rsid w:val="008D41A6"/>
    <w:rsid w:val="008D4510"/>
    <w:rsid w:val="008D4B13"/>
    <w:rsid w:val="008D4E65"/>
    <w:rsid w:val="008D50E1"/>
    <w:rsid w:val="008D5268"/>
    <w:rsid w:val="008D5369"/>
    <w:rsid w:val="008D54B3"/>
    <w:rsid w:val="008D5747"/>
    <w:rsid w:val="008D58CD"/>
    <w:rsid w:val="008D5B84"/>
    <w:rsid w:val="008D61CA"/>
    <w:rsid w:val="008D671F"/>
    <w:rsid w:val="008D6C0E"/>
    <w:rsid w:val="008D6CE2"/>
    <w:rsid w:val="008D711B"/>
    <w:rsid w:val="008D727A"/>
    <w:rsid w:val="008D73C6"/>
    <w:rsid w:val="008D7589"/>
    <w:rsid w:val="008D77AC"/>
    <w:rsid w:val="008D79FB"/>
    <w:rsid w:val="008D7B51"/>
    <w:rsid w:val="008D7E31"/>
    <w:rsid w:val="008E00AA"/>
    <w:rsid w:val="008E0BE7"/>
    <w:rsid w:val="008E0E60"/>
    <w:rsid w:val="008E0F3F"/>
    <w:rsid w:val="008E11DF"/>
    <w:rsid w:val="008E1225"/>
    <w:rsid w:val="008E1540"/>
    <w:rsid w:val="008E15E3"/>
    <w:rsid w:val="008E169F"/>
    <w:rsid w:val="008E19BB"/>
    <w:rsid w:val="008E1B2F"/>
    <w:rsid w:val="008E1B6E"/>
    <w:rsid w:val="008E2142"/>
    <w:rsid w:val="008E2B83"/>
    <w:rsid w:val="008E2C37"/>
    <w:rsid w:val="008E2E53"/>
    <w:rsid w:val="008E32E0"/>
    <w:rsid w:val="008E33DB"/>
    <w:rsid w:val="008E3604"/>
    <w:rsid w:val="008E38FB"/>
    <w:rsid w:val="008E3E94"/>
    <w:rsid w:val="008E3F7D"/>
    <w:rsid w:val="008E4059"/>
    <w:rsid w:val="008E41B8"/>
    <w:rsid w:val="008E4411"/>
    <w:rsid w:val="008E45C8"/>
    <w:rsid w:val="008E4BD2"/>
    <w:rsid w:val="008E4E04"/>
    <w:rsid w:val="008E4E9D"/>
    <w:rsid w:val="008E514A"/>
    <w:rsid w:val="008E527A"/>
    <w:rsid w:val="008E529F"/>
    <w:rsid w:val="008E5498"/>
    <w:rsid w:val="008E58EE"/>
    <w:rsid w:val="008E5CF2"/>
    <w:rsid w:val="008E5D6F"/>
    <w:rsid w:val="008E5DB6"/>
    <w:rsid w:val="008E5F6E"/>
    <w:rsid w:val="008E61F6"/>
    <w:rsid w:val="008E62EE"/>
    <w:rsid w:val="008E65BE"/>
    <w:rsid w:val="008E6719"/>
    <w:rsid w:val="008E6741"/>
    <w:rsid w:val="008E67E6"/>
    <w:rsid w:val="008E6A19"/>
    <w:rsid w:val="008E6D2B"/>
    <w:rsid w:val="008E6E71"/>
    <w:rsid w:val="008E6FD4"/>
    <w:rsid w:val="008E7597"/>
    <w:rsid w:val="008E798D"/>
    <w:rsid w:val="008E7E8B"/>
    <w:rsid w:val="008F02A1"/>
    <w:rsid w:val="008F05F2"/>
    <w:rsid w:val="008F068F"/>
    <w:rsid w:val="008F0AFA"/>
    <w:rsid w:val="008F0E3E"/>
    <w:rsid w:val="008F17D2"/>
    <w:rsid w:val="008F1943"/>
    <w:rsid w:val="008F19B5"/>
    <w:rsid w:val="008F1B6D"/>
    <w:rsid w:val="008F1C19"/>
    <w:rsid w:val="008F1D4B"/>
    <w:rsid w:val="008F1D69"/>
    <w:rsid w:val="008F1F0B"/>
    <w:rsid w:val="008F21FE"/>
    <w:rsid w:val="008F22FD"/>
    <w:rsid w:val="008F2463"/>
    <w:rsid w:val="008F2D01"/>
    <w:rsid w:val="008F2F5B"/>
    <w:rsid w:val="008F3410"/>
    <w:rsid w:val="008F3488"/>
    <w:rsid w:val="008F35D4"/>
    <w:rsid w:val="008F36ED"/>
    <w:rsid w:val="008F37C7"/>
    <w:rsid w:val="008F37D4"/>
    <w:rsid w:val="008F37DA"/>
    <w:rsid w:val="008F37DD"/>
    <w:rsid w:val="008F3831"/>
    <w:rsid w:val="008F409E"/>
    <w:rsid w:val="008F4399"/>
    <w:rsid w:val="008F46DF"/>
    <w:rsid w:val="008F4879"/>
    <w:rsid w:val="008F4B89"/>
    <w:rsid w:val="008F4C9E"/>
    <w:rsid w:val="008F56DF"/>
    <w:rsid w:val="008F58E2"/>
    <w:rsid w:val="008F5914"/>
    <w:rsid w:val="008F5D22"/>
    <w:rsid w:val="008F5F76"/>
    <w:rsid w:val="008F60D2"/>
    <w:rsid w:val="008F6470"/>
    <w:rsid w:val="008F65EB"/>
    <w:rsid w:val="008F6616"/>
    <w:rsid w:val="008F67B2"/>
    <w:rsid w:val="008F69A3"/>
    <w:rsid w:val="008F6AFF"/>
    <w:rsid w:val="008F6C66"/>
    <w:rsid w:val="008F73E2"/>
    <w:rsid w:val="008F7559"/>
    <w:rsid w:val="008F79BB"/>
    <w:rsid w:val="008F7B9B"/>
    <w:rsid w:val="008F7C08"/>
    <w:rsid w:val="009001C9"/>
    <w:rsid w:val="00900D1F"/>
    <w:rsid w:val="00900D3F"/>
    <w:rsid w:val="009010D3"/>
    <w:rsid w:val="0090149C"/>
    <w:rsid w:val="0090164C"/>
    <w:rsid w:val="0090195F"/>
    <w:rsid w:val="00901A65"/>
    <w:rsid w:val="00901CD9"/>
    <w:rsid w:val="009029A6"/>
    <w:rsid w:val="00902DFC"/>
    <w:rsid w:val="00903028"/>
    <w:rsid w:val="00903159"/>
    <w:rsid w:val="0090315A"/>
    <w:rsid w:val="009031A3"/>
    <w:rsid w:val="00903501"/>
    <w:rsid w:val="00903861"/>
    <w:rsid w:val="00903DFA"/>
    <w:rsid w:val="0090422E"/>
    <w:rsid w:val="00904690"/>
    <w:rsid w:val="009046A0"/>
    <w:rsid w:val="00904723"/>
    <w:rsid w:val="0090481D"/>
    <w:rsid w:val="00904B7F"/>
    <w:rsid w:val="00904C4B"/>
    <w:rsid w:val="00904CDF"/>
    <w:rsid w:val="00904D94"/>
    <w:rsid w:val="00905332"/>
    <w:rsid w:val="009053F9"/>
    <w:rsid w:val="009059B9"/>
    <w:rsid w:val="009059DB"/>
    <w:rsid w:val="00905D50"/>
    <w:rsid w:val="00905E2C"/>
    <w:rsid w:val="00905F87"/>
    <w:rsid w:val="00906296"/>
    <w:rsid w:val="00906790"/>
    <w:rsid w:val="0090679A"/>
    <w:rsid w:val="00906C3E"/>
    <w:rsid w:val="00907470"/>
    <w:rsid w:val="009076D7"/>
    <w:rsid w:val="009078E6"/>
    <w:rsid w:val="00907BE7"/>
    <w:rsid w:val="009100AE"/>
    <w:rsid w:val="0091054D"/>
    <w:rsid w:val="0091071C"/>
    <w:rsid w:val="00910C5C"/>
    <w:rsid w:val="00910D8C"/>
    <w:rsid w:val="009110B5"/>
    <w:rsid w:val="00911803"/>
    <w:rsid w:val="0091188B"/>
    <w:rsid w:val="00911A0B"/>
    <w:rsid w:val="00911B81"/>
    <w:rsid w:val="00911BB3"/>
    <w:rsid w:val="00911E92"/>
    <w:rsid w:val="0091226E"/>
    <w:rsid w:val="009122E1"/>
    <w:rsid w:val="009123CD"/>
    <w:rsid w:val="00912588"/>
    <w:rsid w:val="00912660"/>
    <w:rsid w:val="00912A2B"/>
    <w:rsid w:val="00912CD6"/>
    <w:rsid w:val="00912D4B"/>
    <w:rsid w:val="00912DF1"/>
    <w:rsid w:val="00912DF7"/>
    <w:rsid w:val="00912ECF"/>
    <w:rsid w:val="009130D4"/>
    <w:rsid w:val="009132D1"/>
    <w:rsid w:val="0091342E"/>
    <w:rsid w:val="00913518"/>
    <w:rsid w:val="00913670"/>
    <w:rsid w:val="0091388C"/>
    <w:rsid w:val="00913BBC"/>
    <w:rsid w:val="00913D64"/>
    <w:rsid w:val="00913D7C"/>
    <w:rsid w:val="00913E0D"/>
    <w:rsid w:val="009140F5"/>
    <w:rsid w:val="00914244"/>
    <w:rsid w:val="009147C9"/>
    <w:rsid w:val="00914D5E"/>
    <w:rsid w:val="00914DFE"/>
    <w:rsid w:val="0091504A"/>
    <w:rsid w:val="009150CC"/>
    <w:rsid w:val="00915113"/>
    <w:rsid w:val="009158BD"/>
    <w:rsid w:val="00915968"/>
    <w:rsid w:val="00915BE4"/>
    <w:rsid w:val="00915D61"/>
    <w:rsid w:val="00915E45"/>
    <w:rsid w:val="00915F19"/>
    <w:rsid w:val="00916300"/>
    <w:rsid w:val="00916358"/>
    <w:rsid w:val="00916382"/>
    <w:rsid w:val="009165F1"/>
    <w:rsid w:val="00916657"/>
    <w:rsid w:val="0091691B"/>
    <w:rsid w:val="00916A8E"/>
    <w:rsid w:val="00916F90"/>
    <w:rsid w:val="00916FF9"/>
    <w:rsid w:val="00917025"/>
    <w:rsid w:val="009170B8"/>
    <w:rsid w:val="00917245"/>
    <w:rsid w:val="009174B1"/>
    <w:rsid w:val="00917BEA"/>
    <w:rsid w:val="00917D9F"/>
    <w:rsid w:val="00920307"/>
    <w:rsid w:val="009205F8"/>
    <w:rsid w:val="00920A47"/>
    <w:rsid w:val="00920B12"/>
    <w:rsid w:val="00921330"/>
    <w:rsid w:val="009215CF"/>
    <w:rsid w:val="00921613"/>
    <w:rsid w:val="0092161B"/>
    <w:rsid w:val="0092195F"/>
    <w:rsid w:val="00921F21"/>
    <w:rsid w:val="00922152"/>
    <w:rsid w:val="0092230A"/>
    <w:rsid w:val="00922399"/>
    <w:rsid w:val="009224DB"/>
    <w:rsid w:val="009227D1"/>
    <w:rsid w:val="009228AA"/>
    <w:rsid w:val="00922A84"/>
    <w:rsid w:val="00922AD2"/>
    <w:rsid w:val="00922BF7"/>
    <w:rsid w:val="00922C23"/>
    <w:rsid w:val="00922DD4"/>
    <w:rsid w:val="00922F2B"/>
    <w:rsid w:val="00922FFC"/>
    <w:rsid w:val="0092300D"/>
    <w:rsid w:val="00923037"/>
    <w:rsid w:val="009233AA"/>
    <w:rsid w:val="009238B6"/>
    <w:rsid w:val="00923982"/>
    <w:rsid w:val="00923D42"/>
    <w:rsid w:val="00923D77"/>
    <w:rsid w:val="0092417A"/>
    <w:rsid w:val="009241AD"/>
    <w:rsid w:val="009242DA"/>
    <w:rsid w:val="009243AE"/>
    <w:rsid w:val="00924461"/>
    <w:rsid w:val="009248E2"/>
    <w:rsid w:val="009249D5"/>
    <w:rsid w:val="00924A0C"/>
    <w:rsid w:val="00924BAE"/>
    <w:rsid w:val="00924D85"/>
    <w:rsid w:val="009251BE"/>
    <w:rsid w:val="00925554"/>
    <w:rsid w:val="00925985"/>
    <w:rsid w:val="00925AA6"/>
    <w:rsid w:val="00925CEE"/>
    <w:rsid w:val="00925F24"/>
    <w:rsid w:val="00925FF8"/>
    <w:rsid w:val="009261D6"/>
    <w:rsid w:val="009262FC"/>
    <w:rsid w:val="0092639F"/>
    <w:rsid w:val="009263FE"/>
    <w:rsid w:val="00926780"/>
    <w:rsid w:val="00926990"/>
    <w:rsid w:val="00926ACA"/>
    <w:rsid w:val="00926D6B"/>
    <w:rsid w:val="00926E09"/>
    <w:rsid w:val="00926F41"/>
    <w:rsid w:val="00927337"/>
    <w:rsid w:val="00927621"/>
    <w:rsid w:val="00927786"/>
    <w:rsid w:val="00927A7C"/>
    <w:rsid w:val="00927E96"/>
    <w:rsid w:val="00927F52"/>
    <w:rsid w:val="00927F67"/>
    <w:rsid w:val="00930129"/>
    <w:rsid w:val="009302BF"/>
    <w:rsid w:val="00930812"/>
    <w:rsid w:val="00930912"/>
    <w:rsid w:val="00930B95"/>
    <w:rsid w:val="00930DBB"/>
    <w:rsid w:val="00931054"/>
    <w:rsid w:val="00931169"/>
    <w:rsid w:val="0093116C"/>
    <w:rsid w:val="00931190"/>
    <w:rsid w:val="009311FC"/>
    <w:rsid w:val="009313B2"/>
    <w:rsid w:val="009314B9"/>
    <w:rsid w:val="0093152B"/>
    <w:rsid w:val="00931601"/>
    <w:rsid w:val="0093194A"/>
    <w:rsid w:val="0093197B"/>
    <w:rsid w:val="00931E30"/>
    <w:rsid w:val="00931FAB"/>
    <w:rsid w:val="009322DE"/>
    <w:rsid w:val="00932510"/>
    <w:rsid w:val="0093270B"/>
    <w:rsid w:val="00932C82"/>
    <w:rsid w:val="00932D0F"/>
    <w:rsid w:val="00932D8B"/>
    <w:rsid w:val="00933533"/>
    <w:rsid w:val="0093368C"/>
    <w:rsid w:val="009337C1"/>
    <w:rsid w:val="009337DE"/>
    <w:rsid w:val="00933860"/>
    <w:rsid w:val="00933A33"/>
    <w:rsid w:val="00933BC3"/>
    <w:rsid w:val="00933BDD"/>
    <w:rsid w:val="00933C5D"/>
    <w:rsid w:val="009341A3"/>
    <w:rsid w:val="009343B2"/>
    <w:rsid w:val="00934437"/>
    <w:rsid w:val="00934651"/>
    <w:rsid w:val="0093466F"/>
    <w:rsid w:val="00934EB1"/>
    <w:rsid w:val="00935388"/>
    <w:rsid w:val="00935714"/>
    <w:rsid w:val="00935AF2"/>
    <w:rsid w:val="00935D52"/>
    <w:rsid w:val="00935DBE"/>
    <w:rsid w:val="00936047"/>
    <w:rsid w:val="00936075"/>
    <w:rsid w:val="0093607C"/>
    <w:rsid w:val="0093610C"/>
    <w:rsid w:val="009366FC"/>
    <w:rsid w:val="00936C08"/>
    <w:rsid w:val="00936E6E"/>
    <w:rsid w:val="00936FF2"/>
    <w:rsid w:val="0093702C"/>
    <w:rsid w:val="0093713F"/>
    <w:rsid w:val="00937150"/>
    <w:rsid w:val="009371EE"/>
    <w:rsid w:val="0093724A"/>
    <w:rsid w:val="0093731B"/>
    <w:rsid w:val="00937A27"/>
    <w:rsid w:val="00937B6B"/>
    <w:rsid w:val="00937DB5"/>
    <w:rsid w:val="00937EA7"/>
    <w:rsid w:val="00937F63"/>
    <w:rsid w:val="00940155"/>
    <w:rsid w:val="009403F4"/>
    <w:rsid w:val="009405B5"/>
    <w:rsid w:val="0094089A"/>
    <w:rsid w:val="00940962"/>
    <w:rsid w:val="009409CD"/>
    <w:rsid w:val="00940BCD"/>
    <w:rsid w:val="00940C17"/>
    <w:rsid w:val="00940CFD"/>
    <w:rsid w:val="00941198"/>
    <w:rsid w:val="0094122F"/>
    <w:rsid w:val="0094123F"/>
    <w:rsid w:val="009414F1"/>
    <w:rsid w:val="0094169B"/>
    <w:rsid w:val="009416B3"/>
    <w:rsid w:val="0094181B"/>
    <w:rsid w:val="009419E0"/>
    <w:rsid w:val="00942128"/>
    <w:rsid w:val="00942DF9"/>
    <w:rsid w:val="00942FE8"/>
    <w:rsid w:val="0094308D"/>
    <w:rsid w:val="009430C7"/>
    <w:rsid w:val="00943262"/>
    <w:rsid w:val="009434CC"/>
    <w:rsid w:val="00943549"/>
    <w:rsid w:val="009436BD"/>
    <w:rsid w:val="009438FE"/>
    <w:rsid w:val="00943A52"/>
    <w:rsid w:val="00943C93"/>
    <w:rsid w:val="00943D10"/>
    <w:rsid w:val="00943DB9"/>
    <w:rsid w:val="00944067"/>
    <w:rsid w:val="009440E4"/>
    <w:rsid w:val="009440F4"/>
    <w:rsid w:val="00944368"/>
    <w:rsid w:val="0094485C"/>
    <w:rsid w:val="009448E7"/>
    <w:rsid w:val="009449BF"/>
    <w:rsid w:val="00944F6F"/>
    <w:rsid w:val="00944FB8"/>
    <w:rsid w:val="00945340"/>
    <w:rsid w:val="009453B0"/>
    <w:rsid w:val="00945A5B"/>
    <w:rsid w:val="00945EF9"/>
    <w:rsid w:val="00946114"/>
    <w:rsid w:val="00946355"/>
    <w:rsid w:val="0094648E"/>
    <w:rsid w:val="009469EA"/>
    <w:rsid w:val="00946B47"/>
    <w:rsid w:val="00946FCE"/>
    <w:rsid w:val="00947344"/>
    <w:rsid w:val="00947617"/>
    <w:rsid w:val="009476C3"/>
    <w:rsid w:val="00947F0F"/>
    <w:rsid w:val="00947F6D"/>
    <w:rsid w:val="00947FA9"/>
    <w:rsid w:val="009500E5"/>
    <w:rsid w:val="0095014D"/>
    <w:rsid w:val="00950451"/>
    <w:rsid w:val="00950495"/>
    <w:rsid w:val="009505EC"/>
    <w:rsid w:val="0095063B"/>
    <w:rsid w:val="00950834"/>
    <w:rsid w:val="0095087E"/>
    <w:rsid w:val="00950986"/>
    <w:rsid w:val="00950C40"/>
    <w:rsid w:val="00950DA4"/>
    <w:rsid w:val="00950DF2"/>
    <w:rsid w:val="00950E8C"/>
    <w:rsid w:val="00950F1C"/>
    <w:rsid w:val="00951015"/>
    <w:rsid w:val="00951140"/>
    <w:rsid w:val="00951255"/>
    <w:rsid w:val="00951262"/>
    <w:rsid w:val="009514E0"/>
    <w:rsid w:val="00951535"/>
    <w:rsid w:val="00951937"/>
    <w:rsid w:val="00951E09"/>
    <w:rsid w:val="009522EE"/>
    <w:rsid w:val="00952550"/>
    <w:rsid w:val="00952BD3"/>
    <w:rsid w:val="00952D12"/>
    <w:rsid w:val="0095314D"/>
    <w:rsid w:val="0095315E"/>
    <w:rsid w:val="0095325B"/>
    <w:rsid w:val="009534B4"/>
    <w:rsid w:val="0095393F"/>
    <w:rsid w:val="00953A84"/>
    <w:rsid w:val="00953DE0"/>
    <w:rsid w:val="00954074"/>
    <w:rsid w:val="009541E3"/>
    <w:rsid w:val="009544DC"/>
    <w:rsid w:val="00954954"/>
    <w:rsid w:val="00954A1A"/>
    <w:rsid w:val="00954A52"/>
    <w:rsid w:val="00954ADC"/>
    <w:rsid w:val="00954E28"/>
    <w:rsid w:val="00954FCA"/>
    <w:rsid w:val="00955132"/>
    <w:rsid w:val="00955256"/>
    <w:rsid w:val="00955515"/>
    <w:rsid w:val="009555FB"/>
    <w:rsid w:val="0095587F"/>
    <w:rsid w:val="009559C7"/>
    <w:rsid w:val="00955A3D"/>
    <w:rsid w:val="00955C54"/>
    <w:rsid w:val="00955F2C"/>
    <w:rsid w:val="009560F5"/>
    <w:rsid w:val="009560FE"/>
    <w:rsid w:val="00956412"/>
    <w:rsid w:val="00956A28"/>
    <w:rsid w:val="00956D3B"/>
    <w:rsid w:val="00957295"/>
    <w:rsid w:val="0095758E"/>
    <w:rsid w:val="009578DC"/>
    <w:rsid w:val="009578F3"/>
    <w:rsid w:val="00957A98"/>
    <w:rsid w:val="00957C45"/>
    <w:rsid w:val="00957CF6"/>
    <w:rsid w:val="00957D4D"/>
    <w:rsid w:val="00957D5C"/>
    <w:rsid w:val="00957D8C"/>
    <w:rsid w:val="00957E4E"/>
    <w:rsid w:val="00957F59"/>
    <w:rsid w:val="009600DD"/>
    <w:rsid w:val="009604EE"/>
    <w:rsid w:val="009605B2"/>
    <w:rsid w:val="009606D9"/>
    <w:rsid w:val="0096070B"/>
    <w:rsid w:val="00960739"/>
    <w:rsid w:val="0096093A"/>
    <w:rsid w:val="009609D7"/>
    <w:rsid w:val="00960A0D"/>
    <w:rsid w:val="00960CDC"/>
    <w:rsid w:val="00960F17"/>
    <w:rsid w:val="0096106D"/>
    <w:rsid w:val="009610C0"/>
    <w:rsid w:val="009610CE"/>
    <w:rsid w:val="009612C9"/>
    <w:rsid w:val="009613E9"/>
    <w:rsid w:val="0096173F"/>
    <w:rsid w:val="009618D2"/>
    <w:rsid w:val="00961915"/>
    <w:rsid w:val="0096194F"/>
    <w:rsid w:val="00961A5A"/>
    <w:rsid w:val="00961A9E"/>
    <w:rsid w:val="00961AAB"/>
    <w:rsid w:val="00961AD3"/>
    <w:rsid w:val="00962050"/>
    <w:rsid w:val="009621A3"/>
    <w:rsid w:val="009621F0"/>
    <w:rsid w:val="00962245"/>
    <w:rsid w:val="009626B8"/>
    <w:rsid w:val="009629D3"/>
    <w:rsid w:val="009635AF"/>
    <w:rsid w:val="0096382B"/>
    <w:rsid w:val="009638A5"/>
    <w:rsid w:val="00963905"/>
    <w:rsid w:val="009639BA"/>
    <w:rsid w:val="00963A17"/>
    <w:rsid w:val="00963BF6"/>
    <w:rsid w:val="00963E93"/>
    <w:rsid w:val="00964204"/>
    <w:rsid w:val="009645E0"/>
    <w:rsid w:val="009646C5"/>
    <w:rsid w:val="0096483C"/>
    <w:rsid w:val="009648D6"/>
    <w:rsid w:val="00964902"/>
    <w:rsid w:val="00964AE2"/>
    <w:rsid w:val="00964F00"/>
    <w:rsid w:val="009650D3"/>
    <w:rsid w:val="0096566E"/>
    <w:rsid w:val="00965770"/>
    <w:rsid w:val="009657C5"/>
    <w:rsid w:val="00965808"/>
    <w:rsid w:val="009659DF"/>
    <w:rsid w:val="00965B0B"/>
    <w:rsid w:val="00965DE6"/>
    <w:rsid w:val="00966036"/>
    <w:rsid w:val="0096624E"/>
    <w:rsid w:val="009664CE"/>
    <w:rsid w:val="00966741"/>
    <w:rsid w:val="009667A2"/>
    <w:rsid w:val="00966ABF"/>
    <w:rsid w:val="00966B0D"/>
    <w:rsid w:val="00966C2F"/>
    <w:rsid w:val="00967299"/>
    <w:rsid w:val="009672EA"/>
    <w:rsid w:val="0096732D"/>
    <w:rsid w:val="00967510"/>
    <w:rsid w:val="0096752A"/>
    <w:rsid w:val="009675C0"/>
    <w:rsid w:val="00967B55"/>
    <w:rsid w:val="00967B94"/>
    <w:rsid w:val="00967CBF"/>
    <w:rsid w:val="00967CEE"/>
    <w:rsid w:val="00967E9A"/>
    <w:rsid w:val="0097004F"/>
    <w:rsid w:val="0097065E"/>
    <w:rsid w:val="009706A6"/>
    <w:rsid w:val="0097071E"/>
    <w:rsid w:val="009717F4"/>
    <w:rsid w:val="009718FC"/>
    <w:rsid w:val="009719B6"/>
    <w:rsid w:val="00971D46"/>
    <w:rsid w:val="00972250"/>
    <w:rsid w:val="009722EF"/>
    <w:rsid w:val="009723D3"/>
    <w:rsid w:val="00972462"/>
    <w:rsid w:val="0097266E"/>
    <w:rsid w:val="00972917"/>
    <w:rsid w:val="009729FE"/>
    <w:rsid w:val="00972DE5"/>
    <w:rsid w:val="00972E1E"/>
    <w:rsid w:val="00973269"/>
    <w:rsid w:val="009732B8"/>
    <w:rsid w:val="009733A6"/>
    <w:rsid w:val="00973B21"/>
    <w:rsid w:val="00973E5D"/>
    <w:rsid w:val="00973F90"/>
    <w:rsid w:val="009740A0"/>
    <w:rsid w:val="009741CF"/>
    <w:rsid w:val="009742A2"/>
    <w:rsid w:val="0097448C"/>
    <w:rsid w:val="009744C7"/>
    <w:rsid w:val="00974827"/>
    <w:rsid w:val="00974C94"/>
    <w:rsid w:val="009751B9"/>
    <w:rsid w:val="0097533A"/>
    <w:rsid w:val="0097560B"/>
    <w:rsid w:val="009756A9"/>
    <w:rsid w:val="00975A48"/>
    <w:rsid w:val="00975C65"/>
    <w:rsid w:val="00975DE9"/>
    <w:rsid w:val="009760BA"/>
    <w:rsid w:val="0097617C"/>
    <w:rsid w:val="009762B9"/>
    <w:rsid w:val="0097635F"/>
    <w:rsid w:val="00976868"/>
    <w:rsid w:val="00976D55"/>
    <w:rsid w:val="009771E8"/>
    <w:rsid w:val="009772B6"/>
    <w:rsid w:val="009774DB"/>
    <w:rsid w:val="00977703"/>
    <w:rsid w:val="009779D8"/>
    <w:rsid w:val="00977BE8"/>
    <w:rsid w:val="00977C8E"/>
    <w:rsid w:val="00977DBE"/>
    <w:rsid w:val="00977DC8"/>
    <w:rsid w:val="00980075"/>
    <w:rsid w:val="00980131"/>
    <w:rsid w:val="00980421"/>
    <w:rsid w:val="00980470"/>
    <w:rsid w:val="00981036"/>
    <w:rsid w:val="009810EC"/>
    <w:rsid w:val="00981347"/>
    <w:rsid w:val="00981713"/>
    <w:rsid w:val="00981826"/>
    <w:rsid w:val="00981AF9"/>
    <w:rsid w:val="00981E77"/>
    <w:rsid w:val="00982283"/>
    <w:rsid w:val="0098242E"/>
    <w:rsid w:val="0098254E"/>
    <w:rsid w:val="00982843"/>
    <w:rsid w:val="009831B8"/>
    <w:rsid w:val="00983406"/>
    <w:rsid w:val="0098377E"/>
    <w:rsid w:val="009837C9"/>
    <w:rsid w:val="00983887"/>
    <w:rsid w:val="00983B81"/>
    <w:rsid w:val="00983E10"/>
    <w:rsid w:val="00983EFF"/>
    <w:rsid w:val="009841A7"/>
    <w:rsid w:val="009841D6"/>
    <w:rsid w:val="00984724"/>
    <w:rsid w:val="009849E0"/>
    <w:rsid w:val="00984A91"/>
    <w:rsid w:val="00984D75"/>
    <w:rsid w:val="00984ECF"/>
    <w:rsid w:val="00984F5F"/>
    <w:rsid w:val="0098501D"/>
    <w:rsid w:val="00985052"/>
    <w:rsid w:val="00985094"/>
    <w:rsid w:val="009854BB"/>
    <w:rsid w:val="0098565E"/>
    <w:rsid w:val="009857D1"/>
    <w:rsid w:val="009858CF"/>
    <w:rsid w:val="00985A2C"/>
    <w:rsid w:val="00985B20"/>
    <w:rsid w:val="00985C59"/>
    <w:rsid w:val="00985F4B"/>
    <w:rsid w:val="00985F8C"/>
    <w:rsid w:val="00985F90"/>
    <w:rsid w:val="00986201"/>
    <w:rsid w:val="009863D0"/>
    <w:rsid w:val="00986480"/>
    <w:rsid w:val="0098653A"/>
    <w:rsid w:val="0098668F"/>
    <w:rsid w:val="009869AC"/>
    <w:rsid w:val="0098712F"/>
    <w:rsid w:val="009872F6"/>
    <w:rsid w:val="00987475"/>
    <w:rsid w:val="00987628"/>
    <w:rsid w:val="00987708"/>
    <w:rsid w:val="00987782"/>
    <w:rsid w:val="00987DC4"/>
    <w:rsid w:val="009901BA"/>
    <w:rsid w:val="00990530"/>
    <w:rsid w:val="0099054E"/>
    <w:rsid w:val="009906BC"/>
    <w:rsid w:val="00990819"/>
    <w:rsid w:val="00990ADE"/>
    <w:rsid w:val="00990B7C"/>
    <w:rsid w:val="00990BB1"/>
    <w:rsid w:val="00990C6B"/>
    <w:rsid w:val="00990EC2"/>
    <w:rsid w:val="009912FE"/>
    <w:rsid w:val="0099189D"/>
    <w:rsid w:val="00991911"/>
    <w:rsid w:val="00991C4B"/>
    <w:rsid w:val="0099216C"/>
    <w:rsid w:val="00992455"/>
    <w:rsid w:val="009924B0"/>
    <w:rsid w:val="00993061"/>
    <w:rsid w:val="009937DB"/>
    <w:rsid w:val="00993AA3"/>
    <w:rsid w:val="00993C99"/>
    <w:rsid w:val="00993D04"/>
    <w:rsid w:val="00993D79"/>
    <w:rsid w:val="00994257"/>
    <w:rsid w:val="00994295"/>
    <w:rsid w:val="0099432A"/>
    <w:rsid w:val="00994632"/>
    <w:rsid w:val="00994C00"/>
    <w:rsid w:val="009951DF"/>
    <w:rsid w:val="0099571B"/>
    <w:rsid w:val="00995815"/>
    <w:rsid w:val="00995829"/>
    <w:rsid w:val="00995A4B"/>
    <w:rsid w:val="00995AF7"/>
    <w:rsid w:val="00996001"/>
    <w:rsid w:val="009966D0"/>
    <w:rsid w:val="00996751"/>
    <w:rsid w:val="0099676D"/>
    <w:rsid w:val="00996786"/>
    <w:rsid w:val="00996885"/>
    <w:rsid w:val="00996931"/>
    <w:rsid w:val="00996A6C"/>
    <w:rsid w:val="00996AC8"/>
    <w:rsid w:val="00996BC5"/>
    <w:rsid w:val="00996BE5"/>
    <w:rsid w:val="00996E43"/>
    <w:rsid w:val="00996E9F"/>
    <w:rsid w:val="0099712D"/>
    <w:rsid w:val="0099725B"/>
    <w:rsid w:val="00997268"/>
    <w:rsid w:val="0099733D"/>
    <w:rsid w:val="009975FA"/>
    <w:rsid w:val="00997A73"/>
    <w:rsid w:val="009A0104"/>
    <w:rsid w:val="009A0384"/>
    <w:rsid w:val="009A0626"/>
    <w:rsid w:val="009A063E"/>
    <w:rsid w:val="009A06F8"/>
    <w:rsid w:val="009A0915"/>
    <w:rsid w:val="009A0C5A"/>
    <w:rsid w:val="009A1084"/>
    <w:rsid w:val="009A10B5"/>
    <w:rsid w:val="009A11F6"/>
    <w:rsid w:val="009A1399"/>
    <w:rsid w:val="009A13FF"/>
    <w:rsid w:val="009A1644"/>
    <w:rsid w:val="009A1919"/>
    <w:rsid w:val="009A1EA0"/>
    <w:rsid w:val="009A2039"/>
    <w:rsid w:val="009A20EC"/>
    <w:rsid w:val="009A2315"/>
    <w:rsid w:val="009A2E8F"/>
    <w:rsid w:val="009A325A"/>
    <w:rsid w:val="009A35D1"/>
    <w:rsid w:val="009A3AE4"/>
    <w:rsid w:val="009A3BF6"/>
    <w:rsid w:val="009A400D"/>
    <w:rsid w:val="009A4197"/>
    <w:rsid w:val="009A4630"/>
    <w:rsid w:val="009A480B"/>
    <w:rsid w:val="009A4CFE"/>
    <w:rsid w:val="009A4D08"/>
    <w:rsid w:val="009A50C5"/>
    <w:rsid w:val="009A52B5"/>
    <w:rsid w:val="009A54AF"/>
    <w:rsid w:val="009A5524"/>
    <w:rsid w:val="009A55C3"/>
    <w:rsid w:val="009A55C9"/>
    <w:rsid w:val="009A5609"/>
    <w:rsid w:val="009A5827"/>
    <w:rsid w:val="009A5C7F"/>
    <w:rsid w:val="009A5C85"/>
    <w:rsid w:val="009A5EEA"/>
    <w:rsid w:val="009A6414"/>
    <w:rsid w:val="009A6AF5"/>
    <w:rsid w:val="009A6CC3"/>
    <w:rsid w:val="009A6E70"/>
    <w:rsid w:val="009A72B4"/>
    <w:rsid w:val="009A7509"/>
    <w:rsid w:val="009A793D"/>
    <w:rsid w:val="009A7972"/>
    <w:rsid w:val="009A7BC2"/>
    <w:rsid w:val="009A7EB4"/>
    <w:rsid w:val="009B0108"/>
    <w:rsid w:val="009B041B"/>
    <w:rsid w:val="009B0444"/>
    <w:rsid w:val="009B0677"/>
    <w:rsid w:val="009B09DE"/>
    <w:rsid w:val="009B0F9A"/>
    <w:rsid w:val="009B10DA"/>
    <w:rsid w:val="009B1683"/>
    <w:rsid w:val="009B168E"/>
    <w:rsid w:val="009B177C"/>
    <w:rsid w:val="009B19FC"/>
    <w:rsid w:val="009B1D6C"/>
    <w:rsid w:val="009B1E7E"/>
    <w:rsid w:val="009B215F"/>
    <w:rsid w:val="009B2198"/>
    <w:rsid w:val="009B2207"/>
    <w:rsid w:val="009B221E"/>
    <w:rsid w:val="009B23FA"/>
    <w:rsid w:val="009B2595"/>
    <w:rsid w:val="009B25C4"/>
    <w:rsid w:val="009B25E4"/>
    <w:rsid w:val="009B27B3"/>
    <w:rsid w:val="009B29BE"/>
    <w:rsid w:val="009B2A55"/>
    <w:rsid w:val="009B2B5A"/>
    <w:rsid w:val="009B2CD4"/>
    <w:rsid w:val="009B2EE2"/>
    <w:rsid w:val="009B2F13"/>
    <w:rsid w:val="009B31ED"/>
    <w:rsid w:val="009B3339"/>
    <w:rsid w:val="009B356C"/>
    <w:rsid w:val="009B39C1"/>
    <w:rsid w:val="009B3CF9"/>
    <w:rsid w:val="009B3D25"/>
    <w:rsid w:val="009B3D2F"/>
    <w:rsid w:val="009B3E51"/>
    <w:rsid w:val="009B409D"/>
    <w:rsid w:val="009B417D"/>
    <w:rsid w:val="009B429B"/>
    <w:rsid w:val="009B4385"/>
    <w:rsid w:val="009B4454"/>
    <w:rsid w:val="009B46C5"/>
    <w:rsid w:val="009B4BA5"/>
    <w:rsid w:val="009B50AA"/>
    <w:rsid w:val="009B51E9"/>
    <w:rsid w:val="009B5226"/>
    <w:rsid w:val="009B531D"/>
    <w:rsid w:val="009B54E6"/>
    <w:rsid w:val="009B5770"/>
    <w:rsid w:val="009B5874"/>
    <w:rsid w:val="009B5A25"/>
    <w:rsid w:val="009B5DB8"/>
    <w:rsid w:val="009B6360"/>
    <w:rsid w:val="009B642E"/>
    <w:rsid w:val="009B644A"/>
    <w:rsid w:val="009B64D8"/>
    <w:rsid w:val="009B659C"/>
    <w:rsid w:val="009B6E1B"/>
    <w:rsid w:val="009B70B3"/>
    <w:rsid w:val="009B711A"/>
    <w:rsid w:val="009B7182"/>
    <w:rsid w:val="009B727E"/>
    <w:rsid w:val="009B7430"/>
    <w:rsid w:val="009B748E"/>
    <w:rsid w:val="009B74D0"/>
    <w:rsid w:val="009B7E1E"/>
    <w:rsid w:val="009B7F38"/>
    <w:rsid w:val="009C01E5"/>
    <w:rsid w:val="009C04B6"/>
    <w:rsid w:val="009C0752"/>
    <w:rsid w:val="009C0C0F"/>
    <w:rsid w:val="009C0C35"/>
    <w:rsid w:val="009C0D55"/>
    <w:rsid w:val="009C0D94"/>
    <w:rsid w:val="009C12F6"/>
    <w:rsid w:val="009C1541"/>
    <w:rsid w:val="009C16F9"/>
    <w:rsid w:val="009C193F"/>
    <w:rsid w:val="009C2544"/>
    <w:rsid w:val="009C28EA"/>
    <w:rsid w:val="009C291C"/>
    <w:rsid w:val="009C29C0"/>
    <w:rsid w:val="009C2ABF"/>
    <w:rsid w:val="009C2C27"/>
    <w:rsid w:val="009C2C33"/>
    <w:rsid w:val="009C2EB4"/>
    <w:rsid w:val="009C30CF"/>
    <w:rsid w:val="009C3C17"/>
    <w:rsid w:val="009C3D97"/>
    <w:rsid w:val="009C4006"/>
    <w:rsid w:val="009C4063"/>
    <w:rsid w:val="009C408C"/>
    <w:rsid w:val="009C41D7"/>
    <w:rsid w:val="009C49AF"/>
    <w:rsid w:val="009C49E6"/>
    <w:rsid w:val="009C4B9F"/>
    <w:rsid w:val="009C4C60"/>
    <w:rsid w:val="009C4EC0"/>
    <w:rsid w:val="009C4F0F"/>
    <w:rsid w:val="009C5602"/>
    <w:rsid w:val="009C5B49"/>
    <w:rsid w:val="009C5CFB"/>
    <w:rsid w:val="009C5E35"/>
    <w:rsid w:val="009C5F62"/>
    <w:rsid w:val="009C6110"/>
    <w:rsid w:val="009C612C"/>
    <w:rsid w:val="009C620F"/>
    <w:rsid w:val="009C6564"/>
    <w:rsid w:val="009C725D"/>
    <w:rsid w:val="009C7A60"/>
    <w:rsid w:val="009C7E41"/>
    <w:rsid w:val="009C7EBE"/>
    <w:rsid w:val="009C7FBB"/>
    <w:rsid w:val="009D03CB"/>
    <w:rsid w:val="009D04E6"/>
    <w:rsid w:val="009D06CC"/>
    <w:rsid w:val="009D09FA"/>
    <w:rsid w:val="009D0AF0"/>
    <w:rsid w:val="009D0B20"/>
    <w:rsid w:val="009D0E2B"/>
    <w:rsid w:val="009D0EF8"/>
    <w:rsid w:val="009D109B"/>
    <w:rsid w:val="009D11C6"/>
    <w:rsid w:val="009D121F"/>
    <w:rsid w:val="009D1264"/>
    <w:rsid w:val="009D1883"/>
    <w:rsid w:val="009D1B39"/>
    <w:rsid w:val="009D1CA9"/>
    <w:rsid w:val="009D1E63"/>
    <w:rsid w:val="009D21FE"/>
    <w:rsid w:val="009D2807"/>
    <w:rsid w:val="009D2AF9"/>
    <w:rsid w:val="009D2C4D"/>
    <w:rsid w:val="009D2C91"/>
    <w:rsid w:val="009D2CD8"/>
    <w:rsid w:val="009D2EED"/>
    <w:rsid w:val="009D2F07"/>
    <w:rsid w:val="009D2FB9"/>
    <w:rsid w:val="009D3077"/>
    <w:rsid w:val="009D35E0"/>
    <w:rsid w:val="009D38FE"/>
    <w:rsid w:val="009D3928"/>
    <w:rsid w:val="009D39A3"/>
    <w:rsid w:val="009D3A04"/>
    <w:rsid w:val="009D430B"/>
    <w:rsid w:val="009D4421"/>
    <w:rsid w:val="009D44E8"/>
    <w:rsid w:val="009D4532"/>
    <w:rsid w:val="009D45F0"/>
    <w:rsid w:val="009D476E"/>
    <w:rsid w:val="009D4A72"/>
    <w:rsid w:val="009D4F6D"/>
    <w:rsid w:val="009D5103"/>
    <w:rsid w:val="009D5198"/>
    <w:rsid w:val="009D5355"/>
    <w:rsid w:val="009D55C0"/>
    <w:rsid w:val="009D5897"/>
    <w:rsid w:val="009D5BD4"/>
    <w:rsid w:val="009D5F97"/>
    <w:rsid w:val="009D602C"/>
    <w:rsid w:val="009D60A7"/>
    <w:rsid w:val="009D6184"/>
    <w:rsid w:val="009D61CA"/>
    <w:rsid w:val="009D62E4"/>
    <w:rsid w:val="009D653E"/>
    <w:rsid w:val="009D65E4"/>
    <w:rsid w:val="009D676C"/>
    <w:rsid w:val="009D682A"/>
    <w:rsid w:val="009D69B1"/>
    <w:rsid w:val="009D6A26"/>
    <w:rsid w:val="009D6A81"/>
    <w:rsid w:val="009D6C8D"/>
    <w:rsid w:val="009D6D07"/>
    <w:rsid w:val="009D6D76"/>
    <w:rsid w:val="009D725A"/>
    <w:rsid w:val="009D7CBC"/>
    <w:rsid w:val="009D7D07"/>
    <w:rsid w:val="009D7D94"/>
    <w:rsid w:val="009D7FB8"/>
    <w:rsid w:val="009E00AB"/>
    <w:rsid w:val="009E0155"/>
    <w:rsid w:val="009E02E4"/>
    <w:rsid w:val="009E0532"/>
    <w:rsid w:val="009E075A"/>
    <w:rsid w:val="009E09C0"/>
    <w:rsid w:val="009E0A7A"/>
    <w:rsid w:val="009E0C13"/>
    <w:rsid w:val="009E175F"/>
    <w:rsid w:val="009E1909"/>
    <w:rsid w:val="009E1A78"/>
    <w:rsid w:val="009E1BEC"/>
    <w:rsid w:val="009E1C20"/>
    <w:rsid w:val="009E1FE4"/>
    <w:rsid w:val="009E20F5"/>
    <w:rsid w:val="009E2249"/>
    <w:rsid w:val="009E2297"/>
    <w:rsid w:val="009E2458"/>
    <w:rsid w:val="009E25AF"/>
    <w:rsid w:val="009E28E4"/>
    <w:rsid w:val="009E29B7"/>
    <w:rsid w:val="009E29F5"/>
    <w:rsid w:val="009E2D5B"/>
    <w:rsid w:val="009E2DFD"/>
    <w:rsid w:val="009E2ED4"/>
    <w:rsid w:val="009E2EF9"/>
    <w:rsid w:val="009E3119"/>
    <w:rsid w:val="009E330B"/>
    <w:rsid w:val="009E34E1"/>
    <w:rsid w:val="009E3554"/>
    <w:rsid w:val="009E3581"/>
    <w:rsid w:val="009E358D"/>
    <w:rsid w:val="009E3590"/>
    <w:rsid w:val="009E3702"/>
    <w:rsid w:val="009E3A15"/>
    <w:rsid w:val="009E3B63"/>
    <w:rsid w:val="009E3B95"/>
    <w:rsid w:val="009E3D1A"/>
    <w:rsid w:val="009E3F6B"/>
    <w:rsid w:val="009E4022"/>
    <w:rsid w:val="009E4082"/>
    <w:rsid w:val="009E446A"/>
    <w:rsid w:val="009E458B"/>
    <w:rsid w:val="009E4947"/>
    <w:rsid w:val="009E5028"/>
    <w:rsid w:val="009E5114"/>
    <w:rsid w:val="009E5828"/>
    <w:rsid w:val="009E5841"/>
    <w:rsid w:val="009E5980"/>
    <w:rsid w:val="009E5A68"/>
    <w:rsid w:val="009E5D71"/>
    <w:rsid w:val="009E61AA"/>
    <w:rsid w:val="009E6387"/>
    <w:rsid w:val="009E63B9"/>
    <w:rsid w:val="009E6499"/>
    <w:rsid w:val="009E6A3E"/>
    <w:rsid w:val="009E6A7D"/>
    <w:rsid w:val="009E6FBD"/>
    <w:rsid w:val="009E70C1"/>
    <w:rsid w:val="009E753C"/>
    <w:rsid w:val="009E767B"/>
    <w:rsid w:val="009E78C5"/>
    <w:rsid w:val="009E7A80"/>
    <w:rsid w:val="009E7CFC"/>
    <w:rsid w:val="009E7D27"/>
    <w:rsid w:val="009E7EC7"/>
    <w:rsid w:val="009F00A4"/>
    <w:rsid w:val="009F01CC"/>
    <w:rsid w:val="009F0315"/>
    <w:rsid w:val="009F07AA"/>
    <w:rsid w:val="009F0CB8"/>
    <w:rsid w:val="009F0D9F"/>
    <w:rsid w:val="009F0DA8"/>
    <w:rsid w:val="009F1038"/>
    <w:rsid w:val="009F1706"/>
    <w:rsid w:val="009F1A80"/>
    <w:rsid w:val="009F1D80"/>
    <w:rsid w:val="009F26C2"/>
    <w:rsid w:val="009F27D1"/>
    <w:rsid w:val="009F2B02"/>
    <w:rsid w:val="009F2CA6"/>
    <w:rsid w:val="009F2CEC"/>
    <w:rsid w:val="009F2FE8"/>
    <w:rsid w:val="009F31DF"/>
    <w:rsid w:val="009F3359"/>
    <w:rsid w:val="009F3A78"/>
    <w:rsid w:val="009F3A98"/>
    <w:rsid w:val="009F3B5F"/>
    <w:rsid w:val="009F3BE4"/>
    <w:rsid w:val="009F3F67"/>
    <w:rsid w:val="009F410D"/>
    <w:rsid w:val="009F4260"/>
    <w:rsid w:val="009F434C"/>
    <w:rsid w:val="009F4663"/>
    <w:rsid w:val="009F47BC"/>
    <w:rsid w:val="009F480E"/>
    <w:rsid w:val="009F48F5"/>
    <w:rsid w:val="009F4900"/>
    <w:rsid w:val="009F49AF"/>
    <w:rsid w:val="009F4B2E"/>
    <w:rsid w:val="009F4B4A"/>
    <w:rsid w:val="009F4C80"/>
    <w:rsid w:val="009F4EF3"/>
    <w:rsid w:val="009F5223"/>
    <w:rsid w:val="009F5364"/>
    <w:rsid w:val="009F56F8"/>
    <w:rsid w:val="009F58A2"/>
    <w:rsid w:val="009F594E"/>
    <w:rsid w:val="009F597F"/>
    <w:rsid w:val="009F5F39"/>
    <w:rsid w:val="009F5F4B"/>
    <w:rsid w:val="009F5FAE"/>
    <w:rsid w:val="009F6186"/>
    <w:rsid w:val="009F64B5"/>
    <w:rsid w:val="009F6828"/>
    <w:rsid w:val="009F68F4"/>
    <w:rsid w:val="009F6CAC"/>
    <w:rsid w:val="009F6E15"/>
    <w:rsid w:val="009F7052"/>
    <w:rsid w:val="009F7143"/>
    <w:rsid w:val="009F71DB"/>
    <w:rsid w:val="009F72B4"/>
    <w:rsid w:val="009F77C7"/>
    <w:rsid w:val="009F7B87"/>
    <w:rsid w:val="009F7C3E"/>
    <w:rsid w:val="009F7F06"/>
    <w:rsid w:val="00A00350"/>
    <w:rsid w:val="00A00919"/>
    <w:rsid w:val="00A00D22"/>
    <w:rsid w:val="00A00DE1"/>
    <w:rsid w:val="00A00FBF"/>
    <w:rsid w:val="00A01000"/>
    <w:rsid w:val="00A01283"/>
    <w:rsid w:val="00A01386"/>
    <w:rsid w:val="00A014E8"/>
    <w:rsid w:val="00A014F0"/>
    <w:rsid w:val="00A0163E"/>
    <w:rsid w:val="00A019A8"/>
    <w:rsid w:val="00A01BAA"/>
    <w:rsid w:val="00A01BE0"/>
    <w:rsid w:val="00A01C7D"/>
    <w:rsid w:val="00A01DED"/>
    <w:rsid w:val="00A01EE6"/>
    <w:rsid w:val="00A02229"/>
    <w:rsid w:val="00A02395"/>
    <w:rsid w:val="00A024D5"/>
    <w:rsid w:val="00A02AAE"/>
    <w:rsid w:val="00A02E07"/>
    <w:rsid w:val="00A02E92"/>
    <w:rsid w:val="00A030D5"/>
    <w:rsid w:val="00A031D1"/>
    <w:rsid w:val="00A031E4"/>
    <w:rsid w:val="00A03514"/>
    <w:rsid w:val="00A035D1"/>
    <w:rsid w:val="00A03BD9"/>
    <w:rsid w:val="00A04119"/>
    <w:rsid w:val="00A04372"/>
    <w:rsid w:val="00A045E4"/>
    <w:rsid w:val="00A046B0"/>
    <w:rsid w:val="00A04A10"/>
    <w:rsid w:val="00A04C55"/>
    <w:rsid w:val="00A04D94"/>
    <w:rsid w:val="00A04F49"/>
    <w:rsid w:val="00A04FE1"/>
    <w:rsid w:val="00A0562D"/>
    <w:rsid w:val="00A056BA"/>
    <w:rsid w:val="00A05834"/>
    <w:rsid w:val="00A059E0"/>
    <w:rsid w:val="00A05B43"/>
    <w:rsid w:val="00A05C9E"/>
    <w:rsid w:val="00A06244"/>
    <w:rsid w:val="00A06565"/>
    <w:rsid w:val="00A068DD"/>
    <w:rsid w:val="00A06BD0"/>
    <w:rsid w:val="00A06D26"/>
    <w:rsid w:val="00A06F0D"/>
    <w:rsid w:val="00A0734F"/>
    <w:rsid w:val="00A074D8"/>
    <w:rsid w:val="00A07AE8"/>
    <w:rsid w:val="00A07CA7"/>
    <w:rsid w:val="00A10115"/>
    <w:rsid w:val="00A10303"/>
    <w:rsid w:val="00A1074D"/>
    <w:rsid w:val="00A10A62"/>
    <w:rsid w:val="00A10CA1"/>
    <w:rsid w:val="00A10F94"/>
    <w:rsid w:val="00A11234"/>
    <w:rsid w:val="00A11315"/>
    <w:rsid w:val="00A113AF"/>
    <w:rsid w:val="00A1156A"/>
    <w:rsid w:val="00A118EF"/>
    <w:rsid w:val="00A12144"/>
    <w:rsid w:val="00A12668"/>
    <w:rsid w:val="00A1267B"/>
    <w:rsid w:val="00A12915"/>
    <w:rsid w:val="00A129B8"/>
    <w:rsid w:val="00A12CCB"/>
    <w:rsid w:val="00A13334"/>
    <w:rsid w:val="00A13856"/>
    <w:rsid w:val="00A13D98"/>
    <w:rsid w:val="00A13D9E"/>
    <w:rsid w:val="00A13FE6"/>
    <w:rsid w:val="00A142BC"/>
    <w:rsid w:val="00A14505"/>
    <w:rsid w:val="00A14A20"/>
    <w:rsid w:val="00A14CA0"/>
    <w:rsid w:val="00A14DBE"/>
    <w:rsid w:val="00A1514E"/>
    <w:rsid w:val="00A1521B"/>
    <w:rsid w:val="00A15366"/>
    <w:rsid w:val="00A1571A"/>
    <w:rsid w:val="00A1591E"/>
    <w:rsid w:val="00A15A76"/>
    <w:rsid w:val="00A15E9E"/>
    <w:rsid w:val="00A161AC"/>
    <w:rsid w:val="00A162C2"/>
    <w:rsid w:val="00A163D2"/>
    <w:rsid w:val="00A16519"/>
    <w:rsid w:val="00A169DC"/>
    <w:rsid w:val="00A170D4"/>
    <w:rsid w:val="00A17369"/>
    <w:rsid w:val="00A17445"/>
    <w:rsid w:val="00A1754D"/>
    <w:rsid w:val="00A1776E"/>
    <w:rsid w:val="00A1795F"/>
    <w:rsid w:val="00A17CE9"/>
    <w:rsid w:val="00A17E07"/>
    <w:rsid w:val="00A17EA7"/>
    <w:rsid w:val="00A2004C"/>
    <w:rsid w:val="00A20084"/>
    <w:rsid w:val="00A20226"/>
    <w:rsid w:val="00A2054C"/>
    <w:rsid w:val="00A207AA"/>
    <w:rsid w:val="00A2097C"/>
    <w:rsid w:val="00A213D5"/>
    <w:rsid w:val="00A2183F"/>
    <w:rsid w:val="00A218EB"/>
    <w:rsid w:val="00A219C2"/>
    <w:rsid w:val="00A21B0C"/>
    <w:rsid w:val="00A21C19"/>
    <w:rsid w:val="00A21EF1"/>
    <w:rsid w:val="00A22048"/>
    <w:rsid w:val="00A22067"/>
    <w:rsid w:val="00A222F9"/>
    <w:rsid w:val="00A22484"/>
    <w:rsid w:val="00A22894"/>
    <w:rsid w:val="00A230FA"/>
    <w:rsid w:val="00A2311F"/>
    <w:rsid w:val="00A237E8"/>
    <w:rsid w:val="00A238F2"/>
    <w:rsid w:val="00A23DF9"/>
    <w:rsid w:val="00A23E93"/>
    <w:rsid w:val="00A23FDE"/>
    <w:rsid w:val="00A240CE"/>
    <w:rsid w:val="00A24283"/>
    <w:rsid w:val="00A243F1"/>
    <w:rsid w:val="00A24746"/>
    <w:rsid w:val="00A249B2"/>
    <w:rsid w:val="00A251D4"/>
    <w:rsid w:val="00A25350"/>
    <w:rsid w:val="00A253B5"/>
    <w:rsid w:val="00A253FA"/>
    <w:rsid w:val="00A255F6"/>
    <w:rsid w:val="00A256BD"/>
    <w:rsid w:val="00A256CA"/>
    <w:rsid w:val="00A25717"/>
    <w:rsid w:val="00A25898"/>
    <w:rsid w:val="00A259BB"/>
    <w:rsid w:val="00A25D4E"/>
    <w:rsid w:val="00A261CA"/>
    <w:rsid w:val="00A26241"/>
    <w:rsid w:val="00A26891"/>
    <w:rsid w:val="00A26B33"/>
    <w:rsid w:val="00A26DFF"/>
    <w:rsid w:val="00A270D1"/>
    <w:rsid w:val="00A273F6"/>
    <w:rsid w:val="00A27475"/>
    <w:rsid w:val="00A27724"/>
    <w:rsid w:val="00A27A33"/>
    <w:rsid w:val="00A27CCC"/>
    <w:rsid w:val="00A27CF7"/>
    <w:rsid w:val="00A27D83"/>
    <w:rsid w:val="00A27F7B"/>
    <w:rsid w:val="00A27FA9"/>
    <w:rsid w:val="00A302E7"/>
    <w:rsid w:val="00A30444"/>
    <w:rsid w:val="00A30634"/>
    <w:rsid w:val="00A30780"/>
    <w:rsid w:val="00A30A26"/>
    <w:rsid w:val="00A30BE3"/>
    <w:rsid w:val="00A30D37"/>
    <w:rsid w:val="00A30DE9"/>
    <w:rsid w:val="00A30E8C"/>
    <w:rsid w:val="00A31057"/>
    <w:rsid w:val="00A3158B"/>
    <w:rsid w:val="00A31684"/>
    <w:rsid w:val="00A318F8"/>
    <w:rsid w:val="00A31A0A"/>
    <w:rsid w:val="00A31DE1"/>
    <w:rsid w:val="00A31FCA"/>
    <w:rsid w:val="00A3249B"/>
    <w:rsid w:val="00A32545"/>
    <w:rsid w:val="00A32A3B"/>
    <w:rsid w:val="00A33637"/>
    <w:rsid w:val="00A3395C"/>
    <w:rsid w:val="00A339D5"/>
    <w:rsid w:val="00A33DDB"/>
    <w:rsid w:val="00A34300"/>
    <w:rsid w:val="00A34732"/>
    <w:rsid w:val="00A3485E"/>
    <w:rsid w:val="00A348DB"/>
    <w:rsid w:val="00A34A9D"/>
    <w:rsid w:val="00A34ABA"/>
    <w:rsid w:val="00A34BA6"/>
    <w:rsid w:val="00A34BB1"/>
    <w:rsid w:val="00A35022"/>
    <w:rsid w:val="00A35291"/>
    <w:rsid w:val="00A354B3"/>
    <w:rsid w:val="00A3558C"/>
    <w:rsid w:val="00A358CC"/>
    <w:rsid w:val="00A35E07"/>
    <w:rsid w:val="00A35F56"/>
    <w:rsid w:val="00A36073"/>
    <w:rsid w:val="00A361D4"/>
    <w:rsid w:val="00A362AD"/>
    <w:rsid w:val="00A368A3"/>
    <w:rsid w:val="00A36960"/>
    <w:rsid w:val="00A36A67"/>
    <w:rsid w:val="00A36B13"/>
    <w:rsid w:val="00A373EC"/>
    <w:rsid w:val="00A376B4"/>
    <w:rsid w:val="00A37800"/>
    <w:rsid w:val="00A37A3D"/>
    <w:rsid w:val="00A37AB6"/>
    <w:rsid w:val="00A37BA1"/>
    <w:rsid w:val="00A37D8A"/>
    <w:rsid w:val="00A37E72"/>
    <w:rsid w:val="00A402EF"/>
    <w:rsid w:val="00A4034F"/>
    <w:rsid w:val="00A403C9"/>
    <w:rsid w:val="00A4060C"/>
    <w:rsid w:val="00A4070F"/>
    <w:rsid w:val="00A40C5D"/>
    <w:rsid w:val="00A40CBC"/>
    <w:rsid w:val="00A40D2D"/>
    <w:rsid w:val="00A40F56"/>
    <w:rsid w:val="00A410B3"/>
    <w:rsid w:val="00A413BE"/>
    <w:rsid w:val="00A414C4"/>
    <w:rsid w:val="00A41536"/>
    <w:rsid w:val="00A41663"/>
    <w:rsid w:val="00A417F5"/>
    <w:rsid w:val="00A4205A"/>
    <w:rsid w:val="00A4214B"/>
    <w:rsid w:val="00A421A5"/>
    <w:rsid w:val="00A42217"/>
    <w:rsid w:val="00A4240B"/>
    <w:rsid w:val="00A4267E"/>
    <w:rsid w:val="00A427E0"/>
    <w:rsid w:val="00A42B13"/>
    <w:rsid w:val="00A42B3F"/>
    <w:rsid w:val="00A42B60"/>
    <w:rsid w:val="00A42BA8"/>
    <w:rsid w:val="00A42DAC"/>
    <w:rsid w:val="00A42E50"/>
    <w:rsid w:val="00A42EE0"/>
    <w:rsid w:val="00A42EF8"/>
    <w:rsid w:val="00A42FE9"/>
    <w:rsid w:val="00A43346"/>
    <w:rsid w:val="00A43637"/>
    <w:rsid w:val="00A437BC"/>
    <w:rsid w:val="00A438A2"/>
    <w:rsid w:val="00A43953"/>
    <w:rsid w:val="00A4397A"/>
    <w:rsid w:val="00A43C17"/>
    <w:rsid w:val="00A43D51"/>
    <w:rsid w:val="00A43DA4"/>
    <w:rsid w:val="00A43E5B"/>
    <w:rsid w:val="00A4415A"/>
    <w:rsid w:val="00A44235"/>
    <w:rsid w:val="00A442B1"/>
    <w:rsid w:val="00A44528"/>
    <w:rsid w:val="00A446C4"/>
    <w:rsid w:val="00A44915"/>
    <w:rsid w:val="00A4499A"/>
    <w:rsid w:val="00A44FD9"/>
    <w:rsid w:val="00A450B7"/>
    <w:rsid w:val="00A454B1"/>
    <w:rsid w:val="00A45638"/>
    <w:rsid w:val="00A45854"/>
    <w:rsid w:val="00A45A65"/>
    <w:rsid w:val="00A45CB4"/>
    <w:rsid w:val="00A45D35"/>
    <w:rsid w:val="00A45D4E"/>
    <w:rsid w:val="00A45DE1"/>
    <w:rsid w:val="00A4619A"/>
    <w:rsid w:val="00A4622F"/>
    <w:rsid w:val="00A467F9"/>
    <w:rsid w:val="00A468AE"/>
    <w:rsid w:val="00A46FD2"/>
    <w:rsid w:val="00A4708F"/>
    <w:rsid w:val="00A472D0"/>
    <w:rsid w:val="00A47347"/>
    <w:rsid w:val="00A47958"/>
    <w:rsid w:val="00A47DB3"/>
    <w:rsid w:val="00A47F02"/>
    <w:rsid w:val="00A47F6A"/>
    <w:rsid w:val="00A47FED"/>
    <w:rsid w:val="00A5010B"/>
    <w:rsid w:val="00A5023E"/>
    <w:rsid w:val="00A50558"/>
    <w:rsid w:val="00A50988"/>
    <w:rsid w:val="00A50D13"/>
    <w:rsid w:val="00A51068"/>
    <w:rsid w:val="00A5109C"/>
    <w:rsid w:val="00A51384"/>
    <w:rsid w:val="00A51502"/>
    <w:rsid w:val="00A517A3"/>
    <w:rsid w:val="00A51811"/>
    <w:rsid w:val="00A51DD4"/>
    <w:rsid w:val="00A52276"/>
    <w:rsid w:val="00A5259D"/>
    <w:rsid w:val="00A525B8"/>
    <w:rsid w:val="00A5264A"/>
    <w:rsid w:val="00A52664"/>
    <w:rsid w:val="00A5270E"/>
    <w:rsid w:val="00A5278D"/>
    <w:rsid w:val="00A528A5"/>
    <w:rsid w:val="00A52E57"/>
    <w:rsid w:val="00A53264"/>
    <w:rsid w:val="00A53275"/>
    <w:rsid w:val="00A534C3"/>
    <w:rsid w:val="00A53845"/>
    <w:rsid w:val="00A53ACC"/>
    <w:rsid w:val="00A5403D"/>
    <w:rsid w:val="00A54632"/>
    <w:rsid w:val="00A5476A"/>
    <w:rsid w:val="00A54A79"/>
    <w:rsid w:val="00A54DFE"/>
    <w:rsid w:val="00A5502C"/>
    <w:rsid w:val="00A553DA"/>
    <w:rsid w:val="00A5569D"/>
    <w:rsid w:val="00A55D1D"/>
    <w:rsid w:val="00A55F67"/>
    <w:rsid w:val="00A55F87"/>
    <w:rsid w:val="00A55FF9"/>
    <w:rsid w:val="00A5609A"/>
    <w:rsid w:val="00A56365"/>
    <w:rsid w:val="00A564D0"/>
    <w:rsid w:val="00A56A01"/>
    <w:rsid w:val="00A56C6C"/>
    <w:rsid w:val="00A56C85"/>
    <w:rsid w:val="00A56D06"/>
    <w:rsid w:val="00A56E1F"/>
    <w:rsid w:val="00A57855"/>
    <w:rsid w:val="00A57E60"/>
    <w:rsid w:val="00A57F9F"/>
    <w:rsid w:val="00A604E3"/>
    <w:rsid w:val="00A60839"/>
    <w:rsid w:val="00A60DD0"/>
    <w:rsid w:val="00A61095"/>
    <w:rsid w:val="00A612B6"/>
    <w:rsid w:val="00A61456"/>
    <w:rsid w:val="00A614F5"/>
    <w:rsid w:val="00A6182A"/>
    <w:rsid w:val="00A618A1"/>
    <w:rsid w:val="00A618DA"/>
    <w:rsid w:val="00A619EE"/>
    <w:rsid w:val="00A61AA6"/>
    <w:rsid w:val="00A61D17"/>
    <w:rsid w:val="00A61D60"/>
    <w:rsid w:val="00A624A5"/>
    <w:rsid w:val="00A624C2"/>
    <w:rsid w:val="00A626B3"/>
    <w:rsid w:val="00A626B9"/>
    <w:rsid w:val="00A6280F"/>
    <w:rsid w:val="00A62BB0"/>
    <w:rsid w:val="00A630F0"/>
    <w:rsid w:val="00A63798"/>
    <w:rsid w:val="00A637AA"/>
    <w:rsid w:val="00A63860"/>
    <w:rsid w:val="00A63918"/>
    <w:rsid w:val="00A6391F"/>
    <w:rsid w:val="00A63AD2"/>
    <w:rsid w:val="00A63AEB"/>
    <w:rsid w:val="00A63CD0"/>
    <w:rsid w:val="00A63D8B"/>
    <w:rsid w:val="00A6408C"/>
    <w:rsid w:val="00A643ED"/>
    <w:rsid w:val="00A644F8"/>
    <w:rsid w:val="00A6466F"/>
    <w:rsid w:val="00A6489F"/>
    <w:rsid w:val="00A64E4E"/>
    <w:rsid w:val="00A64F69"/>
    <w:rsid w:val="00A65026"/>
    <w:rsid w:val="00A65109"/>
    <w:rsid w:val="00A653BC"/>
    <w:rsid w:val="00A65465"/>
    <w:rsid w:val="00A65791"/>
    <w:rsid w:val="00A65A74"/>
    <w:rsid w:val="00A65B5E"/>
    <w:rsid w:val="00A65E48"/>
    <w:rsid w:val="00A65F5F"/>
    <w:rsid w:val="00A65FEE"/>
    <w:rsid w:val="00A661C2"/>
    <w:rsid w:val="00A6747F"/>
    <w:rsid w:val="00A676FA"/>
    <w:rsid w:val="00A6781B"/>
    <w:rsid w:val="00A679C4"/>
    <w:rsid w:val="00A67B37"/>
    <w:rsid w:val="00A67B65"/>
    <w:rsid w:val="00A67DA5"/>
    <w:rsid w:val="00A67DB2"/>
    <w:rsid w:val="00A67DE2"/>
    <w:rsid w:val="00A67EEE"/>
    <w:rsid w:val="00A701E6"/>
    <w:rsid w:val="00A70271"/>
    <w:rsid w:val="00A70403"/>
    <w:rsid w:val="00A70587"/>
    <w:rsid w:val="00A705EE"/>
    <w:rsid w:val="00A7073B"/>
    <w:rsid w:val="00A707A4"/>
    <w:rsid w:val="00A70A2B"/>
    <w:rsid w:val="00A70BB2"/>
    <w:rsid w:val="00A71293"/>
    <w:rsid w:val="00A71511"/>
    <w:rsid w:val="00A71551"/>
    <w:rsid w:val="00A71583"/>
    <w:rsid w:val="00A7158D"/>
    <w:rsid w:val="00A717F7"/>
    <w:rsid w:val="00A71BAE"/>
    <w:rsid w:val="00A71F9C"/>
    <w:rsid w:val="00A72042"/>
    <w:rsid w:val="00A7245D"/>
    <w:rsid w:val="00A72512"/>
    <w:rsid w:val="00A726B4"/>
    <w:rsid w:val="00A734CB"/>
    <w:rsid w:val="00A736DC"/>
    <w:rsid w:val="00A739F0"/>
    <w:rsid w:val="00A7439E"/>
    <w:rsid w:val="00A7466A"/>
    <w:rsid w:val="00A747E5"/>
    <w:rsid w:val="00A7496C"/>
    <w:rsid w:val="00A74C17"/>
    <w:rsid w:val="00A74E12"/>
    <w:rsid w:val="00A756E7"/>
    <w:rsid w:val="00A757DE"/>
    <w:rsid w:val="00A75868"/>
    <w:rsid w:val="00A7589F"/>
    <w:rsid w:val="00A76265"/>
    <w:rsid w:val="00A76269"/>
    <w:rsid w:val="00A768AD"/>
    <w:rsid w:val="00A76B64"/>
    <w:rsid w:val="00A76BD5"/>
    <w:rsid w:val="00A77018"/>
    <w:rsid w:val="00A77352"/>
    <w:rsid w:val="00A77513"/>
    <w:rsid w:val="00A77639"/>
    <w:rsid w:val="00A77B56"/>
    <w:rsid w:val="00A77E94"/>
    <w:rsid w:val="00A77EFE"/>
    <w:rsid w:val="00A77F0C"/>
    <w:rsid w:val="00A77F17"/>
    <w:rsid w:val="00A80057"/>
    <w:rsid w:val="00A804D3"/>
    <w:rsid w:val="00A805DD"/>
    <w:rsid w:val="00A8060B"/>
    <w:rsid w:val="00A80B1F"/>
    <w:rsid w:val="00A80BDF"/>
    <w:rsid w:val="00A80F14"/>
    <w:rsid w:val="00A80F55"/>
    <w:rsid w:val="00A81684"/>
    <w:rsid w:val="00A817EF"/>
    <w:rsid w:val="00A81891"/>
    <w:rsid w:val="00A81A53"/>
    <w:rsid w:val="00A81ED9"/>
    <w:rsid w:val="00A822D0"/>
    <w:rsid w:val="00A82558"/>
    <w:rsid w:val="00A829E3"/>
    <w:rsid w:val="00A82A1C"/>
    <w:rsid w:val="00A82B26"/>
    <w:rsid w:val="00A82CCF"/>
    <w:rsid w:val="00A83426"/>
    <w:rsid w:val="00A8360E"/>
    <w:rsid w:val="00A8381E"/>
    <w:rsid w:val="00A83905"/>
    <w:rsid w:val="00A83A38"/>
    <w:rsid w:val="00A83D7E"/>
    <w:rsid w:val="00A8418E"/>
    <w:rsid w:val="00A845FA"/>
    <w:rsid w:val="00A84659"/>
    <w:rsid w:val="00A84A34"/>
    <w:rsid w:val="00A84BE6"/>
    <w:rsid w:val="00A84EC9"/>
    <w:rsid w:val="00A85017"/>
    <w:rsid w:val="00A85269"/>
    <w:rsid w:val="00A858B6"/>
    <w:rsid w:val="00A85C8D"/>
    <w:rsid w:val="00A85F6C"/>
    <w:rsid w:val="00A862A6"/>
    <w:rsid w:val="00A866A6"/>
    <w:rsid w:val="00A867EF"/>
    <w:rsid w:val="00A86B09"/>
    <w:rsid w:val="00A86C36"/>
    <w:rsid w:val="00A86C41"/>
    <w:rsid w:val="00A87104"/>
    <w:rsid w:val="00A8728A"/>
    <w:rsid w:val="00A87418"/>
    <w:rsid w:val="00A8743F"/>
    <w:rsid w:val="00A8748C"/>
    <w:rsid w:val="00A87492"/>
    <w:rsid w:val="00A876C5"/>
    <w:rsid w:val="00A876FE"/>
    <w:rsid w:val="00A87925"/>
    <w:rsid w:val="00A87B17"/>
    <w:rsid w:val="00A87B60"/>
    <w:rsid w:val="00A87C50"/>
    <w:rsid w:val="00A87D82"/>
    <w:rsid w:val="00A90318"/>
    <w:rsid w:val="00A905FE"/>
    <w:rsid w:val="00A906D8"/>
    <w:rsid w:val="00A90C35"/>
    <w:rsid w:val="00A90D4B"/>
    <w:rsid w:val="00A90F40"/>
    <w:rsid w:val="00A91109"/>
    <w:rsid w:val="00A913CA"/>
    <w:rsid w:val="00A9172A"/>
    <w:rsid w:val="00A918DE"/>
    <w:rsid w:val="00A91B20"/>
    <w:rsid w:val="00A91E54"/>
    <w:rsid w:val="00A91F07"/>
    <w:rsid w:val="00A91F18"/>
    <w:rsid w:val="00A9274A"/>
    <w:rsid w:val="00A9363B"/>
    <w:rsid w:val="00A93756"/>
    <w:rsid w:val="00A93877"/>
    <w:rsid w:val="00A9388F"/>
    <w:rsid w:val="00A93C1E"/>
    <w:rsid w:val="00A93F93"/>
    <w:rsid w:val="00A94005"/>
    <w:rsid w:val="00A943AD"/>
    <w:rsid w:val="00A9462F"/>
    <w:rsid w:val="00A9485B"/>
    <w:rsid w:val="00A9497B"/>
    <w:rsid w:val="00A94CA8"/>
    <w:rsid w:val="00A94ED4"/>
    <w:rsid w:val="00A94FBE"/>
    <w:rsid w:val="00A95114"/>
    <w:rsid w:val="00A951B0"/>
    <w:rsid w:val="00A953BA"/>
    <w:rsid w:val="00A954A4"/>
    <w:rsid w:val="00A956F5"/>
    <w:rsid w:val="00A9579E"/>
    <w:rsid w:val="00A95801"/>
    <w:rsid w:val="00A9595E"/>
    <w:rsid w:val="00A95A0C"/>
    <w:rsid w:val="00A95C52"/>
    <w:rsid w:val="00A95D97"/>
    <w:rsid w:val="00A95E2C"/>
    <w:rsid w:val="00A9640A"/>
    <w:rsid w:val="00A9640E"/>
    <w:rsid w:val="00A964D5"/>
    <w:rsid w:val="00A966EA"/>
    <w:rsid w:val="00A968EF"/>
    <w:rsid w:val="00A96DB5"/>
    <w:rsid w:val="00A96DE1"/>
    <w:rsid w:val="00A96E52"/>
    <w:rsid w:val="00A96F7E"/>
    <w:rsid w:val="00A97101"/>
    <w:rsid w:val="00A97237"/>
    <w:rsid w:val="00A97385"/>
    <w:rsid w:val="00A97A6A"/>
    <w:rsid w:val="00A97CCD"/>
    <w:rsid w:val="00AA01B1"/>
    <w:rsid w:val="00AA0750"/>
    <w:rsid w:val="00AA0799"/>
    <w:rsid w:val="00AA0B1E"/>
    <w:rsid w:val="00AA0F37"/>
    <w:rsid w:val="00AA134F"/>
    <w:rsid w:val="00AA138D"/>
    <w:rsid w:val="00AA14C9"/>
    <w:rsid w:val="00AA163C"/>
    <w:rsid w:val="00AA16EB"/>
    <w:rsid w:val="00AA1DC4"/>
    <w:rsid w:val="00AA1E9E"/>
    <w:rsid w:val="00AA202A"/>
    <w:rsid w:val="00AA205E"/>
    <w:rsid w:val="00AA2361"/>
    <w:rsid w:val="00AA263C"/>
    <w:rsid w:val="00AA292C"/>
    <w:rsid w:val="00AA2980"/>
    <w:rsid w:val="00AA2C58"/>
    <w:rsid w:val="00AA2D9A"/>
    <w:rsid w:val="00AA310E"/>
    <w:rsid w:val="00AA322C"/>
    <w:rsid w:val="00AA338E"/>
    <w:rsid w:val="00AA36E8"/>
    <w:rsid w:val="00AA47AB"/>
    <w:rsid w:val="00AA4B98"/>
    <w:rsid w:val="00AA4FC7"/>
    <w:rsid w:val="00AA503E"/>
    <w:rsid w:val="00AA5041"/>
    <w:rsid w:val="00AA518A"/>
    <w:rsid w:val="00AA52CA"/>
    <w:rsid w:val="00AA53A0"/>
    <w:rsid w:val="00AA5424"/>
    <w:rsid w:val="00AA54F9"/>
    <w:rsid w:val="00AA55C7"/>
    <w:rsid w:val="00AA577D"/>
    <w:rsid w:val="00AA59C9"/>
    <w:rsid w:val="00AA5D5A"/>
    <w:rsid w:val="00AA61E2"/>
    <w:rsid w:val="00AA6225"/>
    <w:rsid w:val="00AA62C6"/>
    <w:rsid w:val="00AA65AC"/>
    <w:rsid w:val="00AA6642"/>
    <w:rsid w:val="00AA66F3"/>
    <w:rsid w:val="00AA67A2"/>
    <w:rsid w:val="00AA6839"/>
    <w:rsid w:val="00AA68B9"/>
    <w:rsid w:val="00AA6C51"/>
    <w:rsid w:val="00AA6C6D"/>
    <w:rsid w:val="00AA6DD5"/>
    <w:rsid w:val="00AA6FA2"/>
    <w:rsid w:val="00AA703E"/>
    <w:rsid w:val="00AA720E"/>
    <w:rsid w:val="00AA728D"/>
    <w:rsid w:val="00AA7420"/>
    <w:rsid w:val="00AA7503"/>
    <w:rsid w:val="00AA75FD"/>
    <w:rsid w:val="00AA797D"/>
    <w:rsid w:val="00AA7A44"/>
    <w:rsid w:val="00AA7D2E"/>
    <w:rsid w:val="00AA7D93"/>
    <w:rsid w:val="00AA7E86"/>
    <w:rsid w:val="00AB0021"/>
    <w:rsid w:val="00AB02ED"/>
    <w:rsid w:val="00AB03B5"/>
    <w:rsid w:val="00AB0474"/>
    <w:rsid w:val="00AB0994"/>
    <w:rsid w:val="00AB1122"/>
    <w:rsid w:val="00AB116F"/>
    <w:rsid w:val="00AB1339"/>
    <w:rsid w:val="00AB1355"/>
    <w:rsid w:val="00AB159A"/>
    <w:rsid w:val="00AB1776"/>
    <w:rsid w:val="00AB1812"/>
    <w:rsid w:val="00AB1A31"/>
    <w:rsid w:val="00AB1ABA"/>
    <w:rsid w:val="00AB1C1F"/>
    <w:rsid w:val="00AB2374"/>
    <w:rsid w:val="00AB24CE"/>
    <w:rsid w:val="00AB295D"/>
    <w:rsid w:val="00AB2BDB"/>
    <w:rsid w:val="00AB2C85"/>
    <w:rsid w:val="00AB2EC3"/>
    <w:rsid w:val="00AB2FD1"/>
    <w:rsid w:val="00AB311E"/>
    <w:rsid w:val="00AB3316"/>
    <w:rsid w:val="00AB3670"/>
    <w:rsid w:val="00AB3752"/>
    <w:rsid w:val="00AB3DF4"/>
    <w:rsid w:val="00AB3EE7"/>
    <w:rsid w:val="00AB4325"/>
    <w:rsid w:val="00AB445D"/>
    <w:rsid w:val="00AB47FA"/>
    <w:rsid w:val="00AB49F6"/>
    <w:rsid w:val="00AB4C53"/>
    <w:rsid w:val="00AB4C76"/>
    <w:rsid w:val="00AB4E50"/>
    <w:rsid w:val="00AB4EF0"/>
    <w:rsid w:val="00AB507F"/>
    <w:rsid w:val="00AB50A6"/>
    <w:rsid w:val="00AB50C6"/>
    <w:rsid w:val="00AB52C8"/>
    <w:rsid w:val="00AB53B5"/>
    <w:rsid w:val="00AB53FC"/>
    <w:rsid w:val="00AB5435"/>
    <w:rsid w:val="00AB555C"/>
    <w:rsid w:val="00AB5969"/>
    <w:rsid w:val="00AB5B52"/>
    <w:rsid w:val="00AB5B8F"/>
    <w:rsid w:val="00AB5EEB"/>
    <w:rsid w:val="00AB606C"/>
    <w:rsid w:val="00AB6451"/>
    <w:rsid w:val="00AB6478"/>
    <w:rsid w:val="00AB647B"/>
    <w:rsid w:val="00AB69A5"/>
    <w:rsid w:val="00AB69B6"/>
    <w:rsid w:val="00AB6BDF"/>
    <w:rsid w:val="00AB6DDA"/>
    <w:rsid w:val="00AB7096"/>
    <w:rsid w:val="00AB7099"/>
    <w:rsid w:val="00AB754C"/>
    <w:rsid w:val="00AB7569"/>
    <w:rsid w:val="00AB7719"/>
    <w:rsid w:val="00AB783D"/>
    <w:rsid w:val="00AB78E3"/>
    <w:rsid w:val="00AB7ADD"/>
    <w:rsid w:val="00AB7C03"/>
    <w:rsid w:val="00AB7C11"/>
    <w:rsid w:val="00AB7EAA"/>
    <w:rsid w:val="00AC00FB"/>
    <w:rsid w:val="00AC00FD"/>
    <w:rsid w:val="00AC016D"/>
    <w:rsid w:val="00AC05F2"/>
    <w:rsid w:val="00AC0835"/>
    <w:rsid w:val="00AC09D2"/>
    <w:rsid w:val="00AC0B9C"/>
    <w:rsid w:val="00AC10DA"/>
    <w:rsid w:val="00AC18C0"/>
    <w:rsid w:val="00AC19A4"/>
    <w:rsid w:val="00AC1C0A"/>
    <w:rsid w:val="00AC1C81"/>
    <w:rsid w:val="00AC1CB0"/>
    <w:rsid w:val="00AC21FD"/>
    <w:rsid w:val="00AC2639"/>
    <w:rsid w:val="00AC26B2"/>
    <w:rsid w:val="00AC27BF"/>
    <w:rsid w:val="00AC2B52"/>
    <w:rsid w:val="00AC2BE6"/>
    <w:rsid w:val="00AC3013"/>
    <w:rsid w:val="00AC302D"/>
    <w:rsid w:val="00AC307A"/>
    <w:rsid w:val="00AC30E0"/>
    <w:rsid w:val="00AC33C2"/>
    <w:rsid w:val="00AC35F5"/>
    <w:rsid w:val="00AC3662"/>
    <w:rsid w:val="00AC381D"/>
    <w:rsid w:val="00AC3853"/>
    <w:rsid w:val="00AC387D"/>
    <w:rsid w:val="00AC38ED"/>
    <w:rsid w:val="00AC3B10"/>
    <w:rsid w:val="00AC3B19"/>
    <w:rsid w:val="00AC3E66"/>
    <w:rsid w:val="00AC414F"/>
    <w:rsid w:val="00AC43B5"/>
    <w:rsid w:val="00AC46B1"/>
    <w:rsid w:val="00AC4797"/>
    <w:rsid w:val="00AC4CC4"/>
    <w:rsid w:val="00AC4D2E"/>
    <w:rsid w:val="00AC5269"/>
    <w:rsid w:val="00AC540C"/>
    <w:rsid w:val="00AC54CB"/>
    <w:rsid w:val="00AC55F2"/>
    <w:rsid w:val="00AC5611"/>
    <w:rsid w:val="00AC5680"/>
    <w:rsid w:val="00AC5771"/>
    <w:rsid w:val="00AC5953"/>
    <w:rsid w:val="00AC59BC"/>
    <w:rsid w:val="00AC5A60"/>
    <w:rsid w:val="00AC5B63"/>
    <w:rsid w:val="00AC5DB8"/>
    <w:rsid w:val="00AC6152"/>
    <w:rsid w:val="00AC6464"/>
    <w:rsid w:val="00AC64F9"/>
    <w:rsid w:val="00AC669E"/>
    <w:rsid w:val="00AC6841"/>
    <w:rsid w:val="00AC6D80"/>
    <w:rsid w:val="00AC6E30"/>
    <w:rsid w:val="00AC70E2"/>
    <w:rsid w:val="00AC7234"/>
    <w:rsid w:val="00AC7687"/>
    <w:rsid w:val="00AC76A2"/>
    <w:rsid w:val="00AD006F"/>
    <w:rsid w:val="00AD011B"/>
    <w:rsid w:val="00AD02ED"/>
    <w:rsid w:val="00AD0347"/>
    <w:rsid w:val="00AD04A8"/>
    <w:rsid w:val="00AD08B3"/>
    <w:rsid w:val="00AD0945"/>
    <w:rsid w:val="00AD0BED"/>
    <w:rsid w:val="00AD0D0C"/>
    <w:rsid w:val="00AD10AB"/>
    <w:rsid w:val="00AD11AA"/>
    <w:rsid w:val="00AD1218"/>
    <w:rsid w:val="00AD1226"/>
    <w:rsid w:val="00AD12DD"/>
    <w:rsid w:val="00AD18CC"/>
    <w:rsid w:val="00AD190C"/>
    <w:rsid w:val="00AD19B4"/>
    <w:rsid w:val="00AD1B83"/>
    <w:rsid w:val="00AD1CC5"/>
    <w:rsid w:val="00AD21FB"/>
    <w:rsid w:val="00AD26CE"/>
    <w:rsid w:val="00AD2795"/>
    <w:rsid w:val="00AD27C6"/>
    <w:rsid w:val="00AD290F"/>
    <w:rsid w:val="00AD2F99"/>
    <w:rsid w:val="00AD314D"/>
    <w:rsid w:val="00AD3514"/>
    <w:rsid w:val="00AD3592"/>
    <w:rsid w:val="00AD3676"/>
    <w:rsid w:val="00AD381B"/>
    <w:rsid w:val="00AD3F7C"/>
    <w:rsid w:val="00AD4303"/>
    <w:rsid w:val="00AD43B6"/>
    <w:rsid w:val="00AD45A7"/>
    <w:rsid w:val="00AD4665"/>
    <w:rsid w:val="00AD4A1A"/>
    <w:rsid w:val="00AD4DB9"/>
    <w:rsid w:val="00AD4F67"/>
    <w:rsid w:val="00AD4F71"/>
    <w:rsid w:val="00AD508A"/>
    <w:rsid w:val="00AD5187"/>
    <w:rsid w:val="00AD5236"/>
    <w:rsid w:val="00AD5446"/>
    <w:rsid w:val="00AD5602"/>
    <w:rsid w:val="00AD57FA"/>
    <w:rsid w:val="00AD58FA"/>
    <w:rsid w:val="00AD5E24"/>
    <w:rsid w:val="00AD5E47"/>
    <w:rsid w:val="00AD607D"/>
    <w:rsid w:val="00AD638B"/>
    <w:rsid w:val="00AD63BA"/>
    <w:rsid w:val="00AD64D1"/>
    <w:rsid w:val="00AD64DE"/>
    <w:rsid w:val="00AD6512"/>
    <w:rsid w:val="00AD65A7"/>
    <w:rsid w:val="00AD67A3"/>
    <w:rsid w:val="00AD68CC"/>
    <w:rsid w:val="00AD6C7A"/>
    <w:rsid w:val="00AD6D17"/>
    <w:rsid w:val="00AD7179"/>
    <w:rsid w:val="00AD71C7"/>
    <w:rsid w:val="00AD7216"/>
    <w:rsid w:val="00AD7704"/>
    <w:rsid w:val="00AD777A"/>
    <w:rsid w:val="00AD783A"/>
    <w:rsid w:val="00AD79A1"/>
    <w:rsid w:val="00AD7B05"/>
    <w:rsid w:val="00AE0221"/>
    <w:rsid w:val="00AE0529"/>
    <w:rsid w:val="00AE0550"/>
    <w:rsid w:val="00AE0844"/>
    <w:rsid w:val="00AE0A20"/>
    <w:rsid w:val="00AE0DFF"/>
    <w:rsid w:val="00AE0EB4"/>
    <w:rsid w:val="00AE0F13"/>
    <w:rsid w:val="00AE0F3D"/>
    <w:rsid w:val="00AE0FD6"/>
    <w:rsid w:val="00AE1072"/>
    <w:rsid w:val="00AE12D6"/>
    <w:rsid w:val="00AE16D7"/>
    <w:rsid w:val="00AE1932"/>
    <w:rsid w:val="00AE19FC"/>
    <w:rsid w:val="00AE1DFA"/>
    <w:rsid w:val="00AE20AC"/>
    <w:rsid w:val="00AE28DD"/>
    <w:rsid w:val="00AE2A74"/>
    <w:rsid w:val="00AE2C07"/>
    <w:rsid w:val="00AE2E90"/>
    <w:rsid w:val="00AE3053"/>
    <w:rsid w:val="00AE34AA"/>
    <w:rsid w:val="00AE36BF"/>
    <w:rsid w:val="00AE3722"/>
    <w:rsid w:val="00AE3871"/>
    <w:rsid w:val="00AE3B0D"/>
    <w:rsid w:val="00AE3D2B"/>
    <w:rsid w:val="00AE3F44"/>
    <w:rsid w:val="00AE40C5"/>
    <w:rsid w:val="00AE4249"/>
    <w:rsid w:val="00AE4261"/>
    <w:rsid w:val="00AE455E"/>
    <w:rsid w:val="00AE467A"/>
    <w:rsid w:val="00AE4934"/>
    <w:rsid w:val="00AE4CC1"/>
    <w:rsid w:val="00AE4E2F"/>
    <w:rsid w:val="00AE4EF0"/>
    <w:rsid w:val="00AE528A"/>
    <w:rsid w:val="00AE5325"/>
    <w:rsid w:val="00AE5354"/>
    <w:rsid w:val="00AE53BD"/>
    <w:rsid w:val="00AE5774"/>
    <w:rsid w:val="00AE579F"/>
    <w:rsid w:val="00AE5C19"/>
    <w:rsid w:val="00AE5E1A"/>
    <w:rsid w:val="00AE60D4"/>
    <w:rsid w:val="00AE626B"/>
    <w:rsid w:val="00AE63D4"/>
    <w:rsid w:val="00AE63DB"/>
    <w:rsid w:val="00AE65D8"/>
    <w:rsid w:val="00AE65F1"/>
    <w:rsid w:val="00AE665A"/>
    <w:rsid w:val="00AE6AC6"/>
    <w:rsid w:val="00AE6AD6"/>
    <w:rsid w:val="00AE7163"/>
    <w:rsid w:val="00AE7364"/>
    <w:rsid w:val="00AE73C4"/>
    <w:rsid w:val="00AE7637"/>
    <w:rsid w:val="00AE7B81"/>
    <w:rsid w:val="00AE7D13"/>
    <w:rsid w:val="00AE7E53"/>
    <w:rsid w:val="00AF00AF"/>
    <w:rsid w:val="00AF022F"/>
    <w:rsid w:val="00AF02D5"/>
    <w:rsid w:val="00AF0A39"/>
    <w:rsid w:val="00AF0AB1"/>
    <w:rsid w:val="00AF0C3A"/>
    <w:rsid w:val="00AF0C6F"/>
    <w:rsid w:val="00AF0C78"/>
    <w:rsid w:val="00AF0D87"/>
    <w:rsid w:val="00AF0E7B"/>
    <w:rsid w:val="00AF0E8D"/>
    <w:rsid w:val="00AF0EA1"/>
    <w:rsid w:val="00AF13A9"/>
    <w:rsid w:val="00AF15F8"/>
    <w:rsid w:val="00AF1831"/>
    <w:rsid w:val="00AF1A00"/>
    <w:rsid w:val="00AF1A4F"/>
    <w:rsid w:val="00AF1A7C"/>
    <w:rsid w:val="00AF1DF1"/>
    <w:rsid w:val="00AF20B7"/>
    <w:rsid w:val="00AF222E"/>
    <w:rsid w:val="00AF2529"/>
    <w:rsid w:val="00AF28DD"/>
    <w:rsid w:val="00AF2C35"/>
    <w:rsid w:val="00AF2D4E"/>
    <w:rsid w:val="00AF2E03"/>
    <w:rsid w:val="00AF310D"/>
    <w:rsid w:val="00AF3366"/>
    <w:rsid w:val="00AF341A"/>
    <w:rsid w:val="00AF384B"/>
    <w:rsid w:val="00AF39DE"/>
    <w:rsid w:val="00AF3D89"/>
    <w:rsid w:val="00AF3E09"/>
    <w:rsid w:val="00AF415D"/>
    <w:rsid w:val="00AF4A1D"/>
    <w:rsid w:val="00AF4E4D"/>
    <w:rsid w:val="00AF4E68"/>
    <w:rsid w:val="00AF51C9"/>
    <w:rsid w:val="00AF5305"/>
    <w:rsid w:val="00AF5707"/>
    <w:rsid w:val="00AF59D1"/>
    <w:rsid w:val="00AF5A2E"/>
    <w:rsid w:val="00AF5FE8"/>
    <w:rsid w:val="00AF641B"/>
    <w:rsid w:val="00AF6748"/>
    <w:rsid w:val="00AF6804"/>
    <w:rsid w:val="00AF6B4B"/>
    <w:rsid w:val="00AF6E26"/>
    <w:rsid w:val="00AF7085"/>
    <w:rsid w:val="00AF70CD"/>
    <w:rsid w:val="00AF722C"/>
    <w:rsid w:val="00AF75FB"/>
    <w:rsid w:val="00AF774F"/>
    <w:rsid w:val="00AF7793"/>
    <w:rsid w:val="00AF7843"/>
    <w:rsid w:val="00AF78C7"/>
    <w:rsid w:val="00AF7A81"/>
    <w:rsid w:val="00AF7D9B"/>
    <w:rsid w:val="00AF7F1E"/>
    <w:rsid w:val="00B0036B"/>
    <w:rsid w:val="00B003DA"/>
    <w:rsid w:val="00B005E6"/>
    <w:rsid w:val="00B0064E"/>
    <w:rsid w:val="00B00761"/>
    <w:rsid w:val="00B00924"/>
    <w:rsid w:val="00B00D04"/>
    <w:rsid w:val="00B00FB1"/>
    <w:rsid w:val="00B00FC1"/>
    <w:rsid w:val="00B010CB"/>
    <w:rsid w:val="00B01157"/>
    <w:rsid w:val="00B0146B"/>
    <w:rsid w:val="00B01C1A"/>
    <w:rsid w:val="00B01C5C"/>
    <w:rsid w:val="00B01D1B"/>
    <w:rsid w:val="00B01E7B"/>
    <w:rsid w:val="00B01FF6"/>
    <w:rsid w:val="00B022BC"/>
    <w:rsid w:val="00B02368"/>
    <w:rsid w:val="00B02A70"/>
    <w:rsid w:val="00B02D58"/>
    <w:rsid w:val="00B02DB0"/>
    <w:rsid w:val="00B02E60"/>
    <w:rsid w:val="00B03001"/>
    <w:rsid w:val="00B03070"/>
    <w:rsid w:val="00B03114"/>
    <w:rsid w:val="00B03305"/>
    <w:rsid w:val="00B035D9"/>
    <w:rsid w:val="00B03645"/>
    <w:rsid w:val="00B03833"/>
    <w:rsid w:val="00B03A85"/>
    <w:rsid w:val="00B03BE8"/>
    <w:rsid w:val="00B0401D"/>
    <w:rsid w:val="00B045D1"/>
    <w:rsid w:val="00B04634"/>
    <w:rsid w:val="00B04687"/>
    <w:rsid w:val="00B04716"/>
    <w:rsid w:val="00B048EE"/>
    <w:rsid w:val="00B04AFC"/>
    <w:rsid w:val="00B04EF2"/>
    <w:rsid w:val="00B05165"/>
    <w:rsid w:val="00B0545E"/>
    <w:rsid w:val="00B05890"/>
    <w:rsid w:val="00B05BB5"/>
    <w:rsid w:val="00B05BF3"/>
    <w:rsid w:val="00B05DF3"/>
    <w:rsid w:val="00B05F0B"/>
    <w:rsid w:val="00B05F31"/>
    <w:rsid w:val="00B06107"/>
    <w:rsid w:val="00B06302"/>
    <w:rsid w:val="00B06827"/>
    <w:rsid w:val="00B06AE9"/>
    <w:rsid w:val="00B06B33"/>
    <w:rsid w:val="00B06DF4"/>
    <w:rsid w:val="00B06E8A"/>
    <w:rsid w:val="00B06EAF"/>
    <w:rsid w:val="00B06FD7"/>
    <w:rsid w:val="00B0717A"/>
    <w:rsid w:val="00B072B8"/>
    <w:rsid w:val="00B07373"/>
    <w:rsid w:val="00B074BF"/>
    <w:rsid w:val="00B07559"/>
    <w:rsid w:val="00B075AB"/>
    <w:rsid w:val="00B07D6B"/>
    <w:rsid w:val="00B07E4B"/>
    <w:rsid w:val="00B1002D"/>
    <w:rsid w:val="00B1013A"/>
    <w:rsid w:val="00B10230"/>
    <w:rsid w:val="00B10C39"/>
    <w:rsid w:val="00B10CFF"/>
    <w:rsid w:val="00B10D48"/>
    <w:rsid w:val="00B111CB"/>
    <w:rsid w:val="00B114EA"/>
    <w:rsid w:val="00B115EE"/>
    <w:rsid w:val="00B11BF4"/>
    <w:rsid w:val="00B11EAC"/>
    <w:rsid w:val="00B1244D"/>
    <w:rsid w:val="00B125E6"/>
    <w:rsid w:val="00B12638"/>
    <w:rsid w:val="00B126AD"/>
    <w:rsid w:val="00B1274B"/>
    <w:rsid w:val="00B1283A"/>
    <w:rsid w:val="00B128EF"/>
    <w:rsid w:val="00B129E9"/>
    <w:rsid w:val="00B12A5A"/>
    <w:rsid w:val="00B12ED7"/>
    <w:rsid w:val="00B131F0"/>
    <w:rsid w:val="00B13465"/>
    <w:rsid w:val="00B135AD"/>
    <w:rsid w:val="00B13BE1"/>
    <w:rsid w:val="00B13EE0"/>
    <w:rsid w:val="00B13FDF"/>
    <w:rsid w:val="00B141E3"/>
    <w:rsid w:val="00B14A41"/>
    <w:rsid w:val="00B14A92"/>
    <w:rsid w:val="00B14D0E"/>
    <w:rsid w:val="00B14D25"/>
    <w:rsid w:val="00B14E40"/>
    <w:rsid w:val="00B15041"/>
    <w:rsid w:val="00B15208"/>
    <w:rsid w:val="00B15240"/>
    <w:rsid w:val="00B15277"/>
    <w:rsid w:val="00B152F1"/>
    <w:rsid w:val="00B15520"/>
    <w:rsid w:val="00B1553B"/>
    <w:rsid w:val="00B15901"/>
    <w:rsid w:val="00B15964"/>
    <w:rsid w:val="00B16067"/>
    <w:rsid w:val="00B1615E"/>
    <w:rsid w:val="00B1646F"/>
    <w:rsid w:val="00B16693"/>
    <w:rsid w:val="00B16695"/>
    <w:rsid w:val="00B1685A"/>
    <w:rsid w:val="00B1746D"/>
    <w:rsid w:val="00B17783"/>
    <w:rsid w:val="00B179DC"/>
    <w:rsid w:val="00B17CC7"/>
    <w:rsid w:val="00B17F0D"/>
    <w:rsid w:val="00B201F4"/>
    <w:rsid w:val="00B204B6"/>
    <w:rsid w:val="00B204F0"/>
    <w:rsid w:val="00B2069B"/>
    <w:rsid w:val="00B209CA"/>
    <w:rsid w:val="00B20E69"/>
    <w:rsid w:val="00B2142D"/>
    <w:rsid w:val="00B216D7"/>
    <w:rsid w:val="00B21AB3"/>
    <w:rsid w:val="00B21B07"/>
    <w:rsid w:val="00B21B15"/>
    <w:rsid w:val="00B221D1"/>
    <w:rsid w:val="00B221F1"/>
    <w:rsid w:val="00B2220E"/>
    <w:rsid w:val="00B22838"/>
    <w:rsid w:val="00B22893"/>
    <w:rsid w:val="00B22909"/>
    <w:rsid w:val="00B22D57"/>
    <w:rsid w:val="00B22E59"/>
    <w:rsid w:val="00B22EEE"/>
    <w:rsid w:val="00B22F26"/>
    <w:rsid w:val="00B22FE1"/>
    <w:rsid w:val="00B2312D"/>
    <w:rsid w:val="00B2347B"/>
    <w:rsid w:val="00B23FFE"/>
    <w:rsid w:val="00B2400C"/>
    <w:rsid w:val="00B24069"/>
    <w:rsid w:val="00B24941"/>
    <w:rsid w:val="00B249EC"/>
    <w:rsid w:val="00B24E43"/>
    <w:rsid w:val="00B24EF7"/>
    <w:rsid w:val="00B24F28"/>
    <w:rsid w:val="00B2514B"/>
    <w:rsid w:val="00B2535A"/>
    <w:rsid w:val="00B257B7"/>
    <w:rsid w:val="00B25899"/>
    <w:rsid w:val="00B25A8D"/>
    <w:rsid w:val="00B25B7B"/>
    <w:rsid w:val="00B25BAD"/>
    <w:rsid w:val="00B25BD9"/>
    <w:rsid w:val="00B25FD1"/>
    <w:rsid w:val="00B26312"/>
    <w:rsid w:val="00B26610"/>
    <w:rsid w:val="00B26A4E"/>
    <w:rsid w:val="00B26AD6"/>
    <w:rsid w:val="00B26D5E"/>
    <w:rsid w:val="00B26D66"/>
    <w:rsid w:val="00B270FA"/>
    <w:rsid w:val="00B27423"/>
    <w:rsid w:val="00B27729"/>
    <w:rsid w:val="00B27AAE"/>
    <w:rsid w:val="00B27D1F"/>
    <w:rsid w:val="00B27E58"/>
    <w:rsid w:val="00B27E5E"/>
    <w:rsid w:val="00B3011F"/>
    <w:rsid w:val="00B3073F"/>
    <w:rsid w:val="00B307AA"/>
    <w:rsid w:val="00B3086B"/>
    <w:rsid w:val="00B30B6E"/>
    <w:rsid w:val="00B30C31"/>
    <w:rsid w:val="00B30CA2"/>
    <w:rsid w:val="00B311D2"/>
    <w:rsid w:val="00B31325"/>
    <w:rsid w:val="00B31497"/>
    <w:rsid w:val="00B31590"/>
    <w:rsid w:val="00B3170E"/>
    <w:rsid w:val="00B31C7C"/>
    <w:rsid w:val="00B320C2"/>
    <w:rsid w:val="00B3221A"/>
    <w:rsid w:val="00B324DA"/>
    <w:rsid w:val="00B32949"/>
    <w:rsid w:val="00B32BA1"/>
    <w:rsid w:val="00B32E4F"/>
    <w:rsid w:val="00B32E83"/>
    <w:rsid w:val="00B3308E"/>
    <w:rsid w:val="00B334A7"/>
    <w:rsid w:val="00B33B2C"/>
    <w:rsid w:val="00B33BD6"/>
    <w:rsid w:val="00B33F68"/>
    <w:rsid w:val="00B34226"/>
    <w:rsid w:val="00B3488E"/>
    <w:rsid w:val="00B349DC"/>
    <w:rsid w:val="00B34ACA"/>
    <w:rsid w:val="00B34B69"/>
    <w:rsid w:val="00B34FAD"/>
    <w:rsid w:val="00B354FD"/>
    <w:rsid w:val="00B355E4"/>
    <w:rsid w:val="00B35EA0"/>
    <w:rsid w:val="00B35F33"/>
    <w:rsid w:val="00B36139"/>
    <w:rsid w:val="00B3621B"/>
    <w:rsid w:val="00B363E6"/>
    <w:rsid w:val="00B36B66"/>
    <w:rsid w:val="00B36DFC"/>
    <w:rsid w:val="00B36FCB"/>
    <w:rsid w:val="00B37181"/>
    <w:rsid w:val="00B375C5"/>
    <w:rsid w:val="00B37799"/>
    <w:rsid w:val="00B377AF"/>
    <w:rsid w:val="00B37BB9"/>
    <w:rsid w:val="00B37D29"/>
    <w:rsid w:val="00B4010D"/>
    <w:rsid w:val="00B4023A"/>
    <w:rsid w:val="00B4028F"/>
    <w:rsid w:val="00B4084C"/>
    <w:rsid w:val="00B4091B"/>
    <w:rsid w:val="00B40B31"/>
    <w:rsid w:val="00B40D8E"/>
    <w:rsid w:val="00B41114"/>
    <w:rsid w:val="00B4129D"/>
    <w:rsid w:val="00B413DE"/>
    <w:rsid w:val="00B4162A"/>
    <w:rsid w:val="00B41654"/>
    <w:rsid w:val="00B41692"/>
    <w:rsid w:val="00B41852"/>
    <w:rsid w:val="00B41B40"/>
    <w:rsid w:val="00B41BFF"/>
    <w:rsid w:val="00B41D0A"/>
    <w:rsid w:val="00B41ED9"/>
    <w:rsid w:val="00B41F5B"/>
    <w:rsid w:val="00B42022"/>
    <w:rsid w:val="00B42065"/>
    <w:rsid w:val="00B4252A"/>
    <w:rsid w:val="00B427DB"/>
    <w:rsid w:val="00B42835"/>
    <w:rsid w:val="00B428FB"/>
    <w:rsid w:val="00B42B14"/>
    <w:rsid w:val="00B42C17"/>
    <w:rsid w:val="00B42E70"/>
    <w:rsid w:val="00B43127"/>
    <w:rsid w:val="00B43158"/>
    <w:rsid w:val="00B436DC"/>
    <w:rsid w:val="00B4379F"/>
    <w:rsid w:val="00B437DE"/>
    <w:rsid w:val="00B43960"/>
    <w:rsid w:val="00B439DC"/>
    <w:rsid w:val="00B43C9B"/>
    <w:rsid w:val="00B43DFA"/>
    <w:rsid w:val="00B44061"/>
    <w:rsid w:val="00B4472B"/>
    <w:rsid w:val="00B4491C"/>
    <w:rsid w:val="00B449AA"/>
    <w:rsid w:val="00B449F0"/>
    <w:rsid w:val="00B44AE1"/>
    <w:rsid w:val="00B44DD0"/>
    <w:rsid w:val="00B44F7B"/>
    <w:rsid w:val="00B45172"/>
    <w:rsid w:val="00B4556E"/>
    <w:rsid w:val="00B4595A"/>
    <w:rsid w:val="00B45A4D"/>
    <w:rsid w:val="00B45D1E"/>
    <w:rsid w:val="00B45F1C"/>
    <w:rsid w:val="00B45F63"/>
    <w:rsid w:val="00B46135"/>
    <w:rsid w:val="00B4616A"/>
    <w:rsid w:val="00B46178"/>
    <w:rsid w:val="00B461CC"/>
    <w:rsid w:val="00B462AE"/>
    <w:rsid w:val="00B462EE"/>
    <w:rsid w:val="00B46353"/>
    <w:rsid w:val="00B46673"/>
    <w:rsid w:val="00B468A6"/>
    <w:rsid w:val="00B46D0F"/>
    <w:rsid w:val="00B46DAF"/>
    <w:rsid w:val="00B46FF1"/>
    <w:rsid w:val="00B473A3"/>
    <w:rsid w:val="00B4791E"/>
    <w:rsid w:val="00B47DAB"/>
    <w:rsid w:val="00B500AC"/>
    <w:rsid w:val="00B50304"/>
    <w:rsid w:val="00B504FB"/>
    <w:rsid w:val="00B50855"/>
    <w:rsid w:val="00B5097F"/>
    <w:rsid w:val="00B50ADC"/>
    <w:rsid w:val="00B50F2C"/>
    <w:rsid w:val="00B51162"/>
    <w:rsid w:val="00B51465"/>
    <w:rsid w:val="00B514E4"/>
    <w:rsid w:val="00B51639"/>
    <w:rsid w:val="00B5181D"/>
    <w:rsid w:val="00B51947"/>
    <w:rsid w:val="00B520D8"/>
    <w:rsid w:val="00B5223A"/>
    <w:rsid w:val="00B5229A"/>
    <w:rsid w:val="00B526E6"/>
    <w:rsid w:val="00B528E5"/>
    <w:rsid w:val="00B52A92"/>
    <w:rsid w:val="00B52E2F"/>
    <w:rsid w:val="00B52EAE"/>
    <w:rsid w:val="00B5327A"/>
    <w:rsid w:val="00B5351A"/>
    <w:rsid w:val="00B53973"/>
    <w:rsid w:val="00B53991"/>
    <w:rsid w:val="00B53B65"/>
    <w:rsid w:val="00B53C1E"/>
    <w:rsid w:val="00B53D92"/>
    <w:rsid w:val="00B53F6A"/>
    <w:rsid w:val="00B540E4"/>
    <w:rsid w:val="00B54387"/>
    <w:rsid w:val="00B549A7"/>
    <w:rsid w:val="00B549A8"/>
    <w:rsid w:val="00B5516F"/>
    <w:rsid w:val="00B55203"/>
    <w:rsid w:val="00B55E2A"/>
    <w:rsid w:val="00B55E47"/>
    <w:rsid w:val="00B55F68"/>
    <w:rsid w:val="00B55FD6"/>
    <w:rsid w:val="00B55FF5"/>
    <w:rsid w:val="00B5614C"/>
    <w:rsid w:val="00B561A1"/>
    <w:rsid w:val="00B56496"/>
    <w:rsid w:val="00B56659"/>
    <w:rsid w:val="00B573CB"/>
    <w:rsid w:val="00B5759B"/>
    <w:rsid w:val="00B576B3"/>
    <w:rsid w:val="00B5793B"/>
    <w:rsid w:val="00B57A68"/>
    <w:rsid w:val="00B57ACC"/>
    <w:rsid w:val="00B57AEA"/>
    <w:rsid w:val="00B57BB2"/>
    <w:rsid w:val="00B57DFB"/>
    <w:rsid w:val="00B603B1"/>
    <w:rsid w:val="00B604BD"/>
    <w:rsid w:val="00B6053E"/>
    <w:rsid w:val="00B60742"/>
    <w:rsid w:val="00B607EA"/>
    <w:rsid w:val="00B608BA"/>
    <w:rsid w:val="00B60B88"/>
    <w:rsid w:val="00B60EA9"/>
    <w:rsid w:val="00B60EB1"/>
    <w:rsid w:val="00B611F8"/>
    <w:rsid w:val="00B6134A"/>
    <w:rsid w:val="00B61560"/>
    <w:rsid w:val="00B61817"/>
    <w:rsid w:val="00B61833"/>
    <w:rsid w:val="00B61862"/>
    <w:rsid w:val="00B6197E"/>
    <w:rsid w:val="00B61E1C"/>
    <w:rsid w:val="00B61E62"/>
    <w:rsid w:val="00B61F4B"/>
    <w:rsid w:val="00B625F7"/>
    <w:rsid w:val="00B62CAF"/>
    <w:rsid w:val="00B631AB"/>
    <w:rsid w:val="00B63486"/>
    <w:rsid w:val="00B638E5"/>
    <w:rsid w:val="00B63B98"/>
    <w:rsid w:val="00B63CBF"/>
    <w:rsid w:val="00B63CF2"/>
    <w:rsid w:val="00B63E02"/>
    <w:rsid w:val="00B63E29"/>
    <w:rsid w:val="00B641D0"/>
    <w:rsid w:val="00B64372"/>
    <w:rsid w:val="00B64519"/>
    <w:rsid w:val="00B6476C"/>
    <w:rsid w:val="00B647EB"/>
    <w:rsid w:val="00B64B53"/>
    <w:rsid w:val="00B65000"/>
    <w:rsid w:val="00B6506D"/>
    <w:rsid w:val="00B65071"/>
    <w:rsid w:val="00B653C9"/>
    <w:rsid w:val="00B653CF"/>
    <w:rsid w:val="00B65544"/>
    <w:rsid w:val="00B65E68"/>
    <w:rsid w:val="00B65EBD"/>
    <w:rsid w:val="00B664FC"/>
    <w:rsid w:val="00B66883"/>
    <w:rsid w:val="00B668F9"/>
    <w:rsid w:val="00B669BE"/>
    <w:rsid w:val="00B67023"/>
    <w:rsid w:val="00B674A7"/>
    <w:rsid w:val="00B67536"/>
    <w:rsid w:val="00B67585"/>
    <w:rsid w:val="00B675B3"/>
    <w:rsid w:val="00B6761D"/>
    <w:rsid w:val="00B67647"/>
    <w:rsid w:val="00B676EE"/>
    <w:rsid w:val="00B6777D"/>
    <w:rsid w:val="00B67812"/>
    <w:rsid w:val="00B67B64"/>
    <w:rsid w:val="00B67F8E"/>
    <w:rsid w:val="00B7004C"/>
    <w:rsid w:val="00B70139"/>
    <w:rsid w:val="00B70486"/>
    <w:rsid w:val="00B70EFE"/>
    <w:rsid w:val="00B711B3"/>
    <w:rsid w:val="00B7122C"/>
    <w:rsid w:val="00B7154F"/>
    <w:rsid w:val="00B7180D"/>
    <w:rsid w:val="00B7196F"/>
    <w:rsid w:val="00B71CBA"/>
    <w:rsid w:val="00B71F41"/>
    <w:rsid w:val="00B7203B"/>
    <w:rsid w:val="00B723F2"/>
    <w:rsid w:val="00B729B2"/>
    <w:rsid w:val="00B72AF2"/>
    <w:rsid w:val="00B72C0F"/>
    <w:rsid w:val="00B72CF9"/>
    <w:rsid w:val="00B72D7B"/>
    <w:rsid w:val="00B72DE8"/>
    <w:rsid w:val="00B72E8A"/>
    <w:rsid w:val="00B73165"/>
    <w:rsid w:val="00B734AF"/>
    <w:rsid w:val="00B73544"/>
    <w:rsid w:val="00B73D56"/>
    <w:rsid w:val="00B73D90"/>
    <w:rsid w:val="00B741CD"/>
    <w:rsid w:val="00B74674"/>
    <w:rsid w:val="00B747DF"/>
    <w:rsid w:val="00B74C98"/>
    <w:rsid w:val="00B74D54"/>
    <w:rsid w:val="00B74FB0"/>
    <w:rsid w:val="00B74FE6"/>
    <w:rsid w:val="00B750C8"/>
    <w:rsid w:val="00B751D6"/>
    <w:rsid w:val="00B75297"/>
    <w:rsid w:val="00B75322"/>
    <w:rsid w:val="00B7585A"/>
    <w:rsid w:val="00B75906"/>
    <w:rsid w:val="00B75953"/>
    <w:rsid w:val="00B75B90"/>
    <w:rsid w:val="00B75FB4"/>
    <w:rsid w:val="00B761F0"/>
    <w:rsid w:val="00B76339"/>
    <w:rsid w:val="00B76469"/>
    <w:rsid w:val="00B7653E"/>
    <w:rsid w:val="00B76645"/>
    <w:rsid w:val="00B76862"/>
    <w:rsid w:val="00B76894"/>
    <w:rsid w:val="00B76A85"/>
    <w:rsid w:val="00B76D44"/>
    <w:rsid w:val="00B770E2"/>
    <w:rsid w:val="00B7738F"/>
    <w:rsid w:val="00B77582"/>
    <w:rsid w:val="00B777C6"/>
    <w:rsid w:val="00B77BD2"/>
    <w:rsid w:val="00B77DFC"/>
    <w:rsid w:val="00B802EC"/>
    <w:rsid w:val="00B808DA"/>
    <w:rsid w:val="00B80952"/>
    <w:rsid w:val="00B80972"/>
    <w:rsid w:val="00B809F7"/>
    <w:rsid w:val="00B80B9F"/>
    <w:rsid w:val="00B80D42"/>
    <w:rsid w:val="00B80E09"/>
    <w:rsid w:val="00B80E4D"/>
    <w:rsid w:val="00B813ED"/>
    <w:rsid w:val="00B818C2"/>
    <w:rsid w:val="00B81DC3"/>
    <w:rsid w:val="00B81FED"/>
    <w:rsid w:val="00B822E7"/>
    <w:rsid w:val="00B823BB"/>
    <w:rsid w:val="00B823D7"/>
    <w:rsid w:val="00B82422"/>
    <w:rsid w:val="00B82808"/>
    <w:rsid w:val="00B8292D"/>
    <w:rsid w:val="00B82B5C"/>
    <w:rsid w:val="00B83351"/>
    <w:rsid w:val="00B833B6"/>
    <w:rsid w:val="00B83455"/>
    <w:rsid w:val="00B83622"/>
    <w:rsid w:val="00B8362E"/>
    <w:rsid w:val="00B839D3"/>
    <w:rsid w:val="00B83DD8"/>
    <w:rsid w:val="00B84583"/>
    <w:rsid w:val="00B84C27"/>
    <w:rsid w:val="00B84CBE"/>
    <w:rsid w:val="00B85597"/>
    <w:rsid w:val="00B85621"/>
    <w:rsid w:val="00B856C4"/>
    <w:rsid w:val="00B8573A"/>
    <w:rsid w:val="00B8575F"/>
    <w:rsid w:val="00B85876"/>
    <w:rsid w:val="00B858F7"/>
    <w:rsid w:val="00B85BE2"/>
    <w:rsid w:val="00B86029"/>
    <w:rsid w:val="00B86249"/>
    <w:rsid w:val="00B8628E"/>
    <w:rsid w:val="00B862F4"/>
    <w:rsid w:val="00B8676D"/>
    <w:rsid w:val="00B86799"/>
    <w:rsid w:val="00B86A99"/>
    <w:rsid w:val="00B86B6A"/>
    <w:rsid w:val="00B86C66"/>
    <w:rsid w:val="00B86F4C"/>
    <w:rsid w:val="00B87234"/>
    <w:rsid w:val="00B87348"/>
    <w:rsid w:val="00B874E3"/>
    <w:rsid w:val="00B87810"/>
    <w:rsid w:val="00B8783D"/>
    <w:rsid w:val="00B878E3"/>
    <w:rsid w:val="00B87E03"/>
    <w:rsid w:val="00B90100"/>
    <w:rsid w:val="00B90231"/>
    <w:rsid w:val="00B90630"/>
    <w:rsid w:val="00B90658"/>
    <w:rsid w:val="00B9089E"/>
    <w:rsid w:val="00B9095F"/>
    <w:rsid w:val="00B909A3"/>
    <w:rsid w:val="00B90D35"/>
    <w:rsid w:val="00B90E6C"/>
    <w:rsid w:val="00B91045"/>
    <w:rsid w:val="00B910AA"/>
    <w:rsid w:val="00B91550"/>
    <w:rsid w:val="00B91557"/>
    <w:rsid w:val="00B91807"/>
    <w:rsid w:val="00B9181C"/>
    <w:rsid w:val="00B91885"/>
    <w:rsid w:val="00B9195F"/>
    <w:rsid w:val="00B919E7"/>
    <w:rsid w:val="00B920B5"/>
    <w:rsid w:val="00B920E2"/>
    <w:rsid w:val="00B92134"/>
    <w:rsid w:val="00B92803"/>
    <w:rsid w:val="00B92918"/>
    <w:rsid w:val="00B92B36"/>
    <w:rsid w:val="00B92B4F"/>
    <w:rsid w:val="00B92C2F"/>
    <w:rsid w:val="00B92DFD"/>
    <w:rsid w:val="00B93073"/>
    <w:rsid w:val="00B934C6"/>
    <w:rsid w:val="00B939A0"/>
    <w:rsid w:val="00B93A75"/>
    <w:rsid w:val="00B93AA1"/>
    <w:rsid w:val="00B93C95"/>
    <w:rsid w:val="00B93F11"/>
    <w:rsid w:val="00B93F6B"/>
    <w:rsid w:val="00B94051"/>
    <w:rsid w:val="00B94191"/>
    <w:rsid w:val="00B9444B"/>
    <w:rsid w:val="00B9444C"/>
    <w:rsid w:val="00B94594"/>
    <w:rsid w:val="00B94B66"/>
    <w:rsid w:val="00B94BC9"/>
    <w:rsid w:val="00B94D76"/>
    <w:rsid w:val="00B94EFA"/>
    <w:rsid w:val="00B94F38"/>
    <w:rsid w:val="00B955B4"/>
    <w:rsid w:val="00B957B4"/>
    <w:rsid w:val="00B957EC"/>
    <w:rsid w:val="00B958C6"/>
    <w:rsid w:val="00B95B08"/>
    <w:rsid w:val="00B95BC0"/>
    <w:rsid w:val="00B95E31"/>
    <w:rsid w:val="00B95EEB"/>
    <w:rsid w:val="00B96005"/>
    <w:rsid w:val="00B966A8"/>
    <w:rsid w:val="00B967D8"/>
    <w:rsid w:val="00B96A8B"/>
    <w:rsid w:val="00B96BC5"/>
    <w:rsid w:val="00B96C45"/>
    <w:rsid w:val="00B96E8E"/>
    <w:rsid w:val="00B96EAC"/>
    <w:rsid w:val="00B96F76"/>
    <w:rsid w:val="00B9701F"/>
    <w:rsid w:val="00B971BC"/>
    <w:rsid w:val="00B9726E"/>
    <w:rsid w:val="00B972CB"/>
    <w:rsid w:val="00B9742E"/>
    <w:rsid w:val="00B974B9"/>
    <w:rsid w:val="00B97741"/>
    <w:rsid w:val="00B978F5"/>
    <w:rsid w:val="00B979B1"/>
    <w:rsid w:val="00B97E24"/>
    <w:rsid w:val="00B97F67"/>
    <w:rsid w:val="00B97F68"/>
    <w:rsid w:val="00BA04FE"/>
    <w:rsid w:val="00BA06A1"/>
    <w:rsid w:val="00BA0742"/>
    <w:rsid w:val="00BA0C1E"/>
    <w:rsid w:val="00BA0E84"/>
    <w:rsid w:val="00BA0E9E"/>
    <w:rsid w:val="00BA101C"/>
    <w:rsid w:val="00BA113C"/>
    <w:rsid w:val="00BA128D"/>
    <w:rsid w:val="00BA142A"/>
    <w:rsid w:val="00BA18C9"/>
    <w:rsid w:val="00BA1963"/>
    <w:rsid w:val="00BA1A83"/>
    <w:rsid w:val="00BA1D04"/>
    <w:rsid w:val="00BA1D27"/>
    <w:rsid w:val="00BA1EE0"/>
    <w:rsid w:val="00BA1EE1"/>
    <w:rsid w:val="00BA20C2"/>
    <w:rsid w:val="00BA2245"/>
    <w:rsid w:val="00BA225B"/>
    <w:rsid w:val="00BA22BF"/>
    <w:rsid w:val="00BA2305"/>
    <w:rsid w:val="00BA240A"/>
    <w:rsid w:val="00BA26E4"/>
    <w:rsid w:val="00BA27C2"/>
    <w:rsid w:val="00BA28B5"/>
    <w:rsid w:val="00BA2AB2"/>
    <w:rsid w:val="00BA2C01"/>
    <w:rsid w:val="00BA2D09"/>
    <w:rsid w:val="00BA3E87"/>
    <w:rsid w:val="00BA3E9A"/>
    <w:rsid w:val="00BA41A0"/>
    <w:rsid w:val="00BA4671"/>
    <w:rsid w:val="00BA4848"/>
    <w:rsid w:val="00BA4A0F"/>
    <w:rsid w:val="00BA4A97"/>
    <w:rsid w:val="00BA4ABC"/>
    <w:rsid w:val="00BA4BC8"/>
    <w:rsid w:val="00BA4D7E"/>
    <w:rsid w:val="00BA4DEB"/>
    <w:rsid w:val="00BA4EAA"/>
    <w:rsid w:val="00BA4EEE"/>
    <w:rsid w:val="00BA534A"/>
    <w:rsid w:val="00BA5502"/>
    <w:rsid w:val="00BA57B0"/>
    <w:rsid w:val="00BA59BD"/>
    <w:rsid w:val="00BA5A73"/>
    <w:rsid w:val="00BA5AC4"/>
    <w:rsid w:val="00BA5C24"/>
    <w:rsid w:val="00BA5E7E"/>
    <w:rsid w:val="00BA5F82"/>
    <w:rsid w:val="00BA6690"/>
    <w:rsid w:val="00BA6A64"/>
    <w:rsid w:val="00BA6F42"/>
    <w:rsid w:val="00BA7157"/>
    <w:rsid w:val="00BA71FA"/>
    <w:rsid w:val="00BA7209"/>
    <w:rsid w:val="00BA7606"/>
    <w:rsid w:val="00BA7816"/>
    <w:rsid w:val="00BA7C52"/>
    <w:rsid w:val="00BA7FF3"/>
    <w:rsid w:val="00BB02F8"/>
    <w:rsid w:val="00BB0447"/>
    <w:rsid w:val="00BB07E9"/>
    <w:rsid w:val="00BB0F69"/>
    <w:rsid w:val="00BB1444"/>
    <w:rsid w:val="00BB1818"/>
    <w:rsid w:val="00BB1B66"/>
    <w:rsid w:val="00BB1C81"/>
    <w:rsid w:val="00BB1E8E"/>
    <w:rsid w:val="00BB1F07"/>
    <w:rsid w:val="00BB214D"/>
    <w:rsid w:val="00BB224A"/>
    <w:rsid w:val="00BB2478"/>
    <w:rsid w:val="00BB24ED"/>
    <w:rsid w:val="00BB2674"/>
    <w:rsid w:val="00BB27FC"/>
    <w:rsid w:val="00BB2E2B"/>
    <w:rsid w:val="00BB2F32"/>
    <w:rsid w:val="00BB2F46"/>
    <w:rsid w:val="00BB30ED"/>
    <w:rsid w:val="00BB353F"/>
    <w:rsid w:val="00BB3673"/>
    <w:rsid w:val="00BB37DF"/>
    <w:rsid w:val="00BB39AA"/>
    <w:rsid w:val="00BB3A7D"/>
    <w:rsid w:val="00BB3B35"/>
    <w:rsid w:val="00BB3B96"/>
    <w:rsid w:val="00BB3C31"/>
    <w:rsid w:val="00BB3CBB"/>
    <w:rsid w:val="00BB3D19"/>
    <w:rsid w:val="00BB4225"/>
    <w:rsid w:val="00BB42A4"/>
    <w:rsid w:val="00BB430B"/>
    <w:rsid w:val="00BB43C8"/>
    <w:rsid w:val="00BB44E0"/>
    <w:rsid w:val="00BB48C1"/>
    <w:rsid w:val="00BB4BC8"/>
    <w:rsid w:val="00BB5067"/>
    <w:rsid w:val="00BB515D"/>
    <w:rsid w:val="00BB5537"/>
    <w:rsid w:val="00BB5618"/>
    <w:rsid w:val="00BB58A3"/>
    <w:rsid w:val="00BB5B57"/>
    <w:rsid w:val="00BB5C40"/>
    <w:rsid w:val="00BB61AD"/>
    <w:rsid w:val="00BB6359"/>
    <w:rsid w:val="00BB6527"/>
    <w:rsid w:val="00BB675D"/>
    <w:rsid w:val="00BB67EE"/>
    <w:rsid w:val="00BB6904"/>
    <w:rsid w:val="00BB696B"/>
    <w:rsid w:val="00BB6C4A"/>
    <w:rsid w:val="00BB6C7E"/>
    <w:rsid w:val="00BB71D3"/>
    <w:rsid w:val="00BB71F4"/>
    <w:rsid w:val="00BB7575"/>
    <w:rsid w:val="00BB759B"/>
    <w:rsid w:val="00BB763E"/>
    <w:rsid w:val="00BB79F1"/>
    <w:rsid w:val="00BB7BC8"/>
    <w:rsid w:val="00BB7CEB"/>
    <w:rsid w:val="00BC0109"/>
    <w:rsid w:val="00BC025A"/>
    <w:rsid w:val="00BC055C"/>
    <w:rsid w:val="00BC0565"/>
    <w:rsid w:val="00BC080D"/>
    <w:rsid w:val="00BC0B2D"/>
    <w:rsid w:val="00BC0B6A"/>
    <w:rsid w:val="00BC0E42"/>
    <w:rsid w:val="00BC0F12"/>
    <w:rsid w:val="00BC1713"/>
    <w:rsid w:val="00BC1822"/>
    <w:rsid w:val="00BC1A88"/>
    <w:rsid w:val="00BC2308"/>
    <w:rsid w:val="00BC2614"/>
    <w:rsid w:val="00BC2735"/>
    <w:rsid w:val="00BC2768"/>
    <w:rsid w:val="00BC2BDB"/>
    <w:rsid w:val="00BC2E6C"/>
    <w:rsid w:val="00BC302C"/>
    <w:rsid w:val="00BC322D"/>
    <w:rsid w:val="00BC3391"/>
    <w:rsid w:val="00BC3659"/>
    <w:rsid w:val="00BC3C75"/>
    <w:rsid w:val="00BC3CDF"/>
    <w:rsid w:val="00BC3D3A"/>
    <w:rsid w:val="00BC3D86"/>
    <w:rsid w:val="00BC3E46"/>
    <w:rsid w:val="00BC4160"/>
    <w:rsid w:val="00BC4203"/>
    <w:rsid w:val="00BC42E1"/>
    <w:rsid w:val="00BC456C"/>
    <w:rsid w:val="00BC4B3E"/>
    <w:rsid w:val="00BC4C0C"/>
    <w:rsid w:val="00BC4C7A"/>
    <w:rsid w:val="00BC4F97"/>
    <w:rsid w:val="00BC5238"/>
    <w:rsid w:val="00BC5390"/>
    <w:rsid w:val="00BC5425"/>
    <w:rsid w:val="00BC559A"/>
    <w:rsid w:val="00BC564F"/>
    <w:rsid w:val="00BC589A"/>
    <w:rsid w:val="00BC590F"/>
    <w:rsid w:val="00BC597B"/>
    <w:rsid w:val="00BC5E86"/>
    <w:rsid w:val="00BC60C1"/>
    <w:rsid w:val="00BC618C"/>
    <w:rsid w:val="00BC6256"/>
    <w:rsid w:val="00BC6624"/>
    <w:rsid w:val="00BC66D4"/>
    <w:rsid w:val="00BC6818"/>
    <w:rsid w:val="00BC6933"/>
    <w:rsid w:val="00BC6C34"/>
    <w:rsid w:val="00BC6FB8"/>
    <w:rsid w:val="00BC713C"/>
    <w:rsid w:val="00BC720A"/>
    <w:rsid w:val="00BC76B7"/>
    <w:rsid w:val="00BC7C1D"/>
    <w:rsid w:val="00BC7D68"/>
    <w:rsid w:val="00BD00ED"/>
    <w:rsid w:val="00BD02B1"/>
    <w:rsid w:val="00BD04B7"/>
    <w:rsid w:val="00BD099D"/>
    <w:rsid w:val="00BD0E31"/>
    <w:rsid w:val="00BD0E39"/>
    <w:rsid w:val="00BD0F90"/>
    <w:rsid w:val="00BD125E"/>
    <w:rsid w:val="00BD1BB8"/>
    <w:rsid w:val="00BD1CFA"/>
    <w:rsid w:val="00BD2514"/>
    <w:rsid w:val="00BD25D5"/>
    <w:rsid w:val="00BD28E0"/>
    <w:rsid w:val="00BD2B8A"/>
    <w:rsid w:val="00BD2BFD"/>
    <w:rsid w:val="00BD2E9C"/>
    <w:rsid w:val="00BD3275"/>
    <w:rsid w:val="00BD32BF"/>
    <w:rsid w:val="00BD36CE"/>
    <w:rsid w:val="00BD37FF"/>
    <w:rsid w:val="00BD3889"/>
    <w:rsid w:val="00BD396A"/>
    <w:rsid w:val="00BD3BC7"/>
    <w:rsid w:val="00BD3E48"/>
    <w:rsid w:val="00BD43C9"/>
    <w:rsid w:val="00BD445E"/>
    <w:rsid w:val="00BD4657"/>
    <w:rsid w:val="00BD47BA"/>
    <w:rsid w:val="00BD4A1D"/>
    <w:rsid w:val="00BD4A60"/>
    <w:rsid w:val="00BD4CC2"/>
    <w:rsid w:val="00BD4DF7"/>
    <w:rsid w:val="00BD5638"/>
    <w:rsid w:val="00BD57B5"/>
    <w:rsid w:val="00BD5ACE"/>
    <w:rsid w:val="00BD5DB6"/>
    <w:rsid w:val="00BD6365"/>
    <w:rsid w:val="00BD6423"/>
    <w:rsid w:val="00BD6551"/>
    <w:rsid w:val="00BD66AA"/>
    <w:rsid w:val="00BD67D0"/>
    <w:rsid w:val="00BD6A55"/>
    <w:rsid w:val="00BD6A60"/>
    <w:rsid w:val="00BD7222"/>
    <w:rsid w:val="00BD77F7"/>
    <w:rsid w:val="00BD79F2"/>
    <w:rsid w:val="00BD7C34"/>
    <w:rsid w:val="00BD7C37"/>
    <w:rsid w:val="00BD7EA0"/>
    <w:rsid w:val="00BE004F"/>
    <w:rsid w:val="00BE013C"/>
    <w:rsid w:val="00BE0617"/>
    <w:rsid w:val="00BE068C"/>
    <w:rsid w:val="00BE077B"/>
    <w:rsid w:val="00BE0A0C"/>
    <w:rsid w:val="00BE0ABC"/>
    <w:rsid w:val="00BE0C35"/>
    <w:rsid w:val="00BE13DD"/>
    <w:rsid w:val="00BE13FD"/>
    <w:rsid w:val="00BE146D"/>
    <w:rsid w:val="00BE14C9"/>
    <w:rsid w:val="00BE1C8B"/>
    <w:rsid w:val="00BE1DDF"/>
    <w:rsid w:val="00BE2048"/>
    <w:rsid w:val="00BE21C4"/>
    <w:rsid w:val="00BE246B"/>
    <w:rsid w:val="00BE2662"/>
    <w:rsid w:val="00BE2689"/>
    <w:rsid w:val="00BE26EC"/>
    <w:rsid w:val="00BE29A9"/>
    <w:rsid w:val="00BE2A1B"/>
    <w:rsid w:val="00BE2A37"/>
    <w:rsid w:val="00BE2D02"/>
    <w:rsid w:val="00BE2D2D"/>
    <w:rsid w:val="00BE2E8E"/>
    <w:rsid w:val="00BE314E"/>
    <w:rsid w:val="00BE31E6"/>
    <w:rsid w:val="00BE33E4"/>
    <w:rsid w:val="00BE3436"/>
    <w:rsid w:val="00BE36D1"/>
    <w:rsid w:val="00BE3998"/>
    <w:rsid w:val="00BE3B3B"/>
    <w:rsid w:val="00BE3D42"/>
    <w:rsid w:val="00BE3E8C"/>
    <w:rsid w:val="00BE3F73"/>
    <w:rsid w:val="00BE4001"/>
    <w:rsid w:val="00BE4101"/>
    <w:rsid w:val="00BE41BA"/>
    <w:rsid w:val="00BE41D8"/>
    <w:rsid w:val="00BE4375"/>
    <w:rsid w:val="00BE4609"/>
    <w:rsid w:val="00BE48ED"/>
    <w:rsid w:val="00BE521E"/>
    <w:rsid w:val="00BE55B6"/>
    <w:rsid w:val="00BE5784"/>
    <w:rsid w:val="00BE59D2"/>
    <w:rsid w:val="00BE5B2B"/>
    <w:rsid w:val="00BE5B69"/>
    <w:rsid w:val="00BE5DAC"/>
    <w:rsid w:val="00BE6044"/>
    <w:rsid w:val="00BE628B"/>
    <w:rsid w:val="00BE63FC"/>
    <w:rsid w:val="00BE65E3"/>
    <w:rsid w:val="00BE6841"/>
    <w:rsid w:val="00BE69F3"/>
    <w:rsid w:val="00BE6A5D"/>
    <w:rsid w:val="00BE6BA7"/>
    <w:rsid w:val="00BE6BD0"/>
    <w:rsid w:val="00BE6E84"/>
    <w:rsid w:val="00BE737E"/>
    <w:rsid w:val="00BE7485"/>
    <w:rsid w:val="00BE77F2"/>
    <w:rsid w:val="00BE7B79"/>
    <w:rsid w:val="00BE7BDE"/>
    <w:rsid w:val="00BF0111"/>
    <w:rsid w:val="00BF02FB"/>
    <w:rsid w:val="00BF05F0"/>
    <w:rsid w:val="00BF0621"/>
    <w:rsid w:val="00BF0625"/>
    <w:rsid w:val="00BF06B9"/>
    <w:rsid w:val="00BF07B4"/>
    <w:rsid w:val="00BF0920"/>
    <w:rsid w:val="00BF0B90"/>
    <w:rsid w:val="00BF0D76"/>
    <w:rsid w:val="00BF0DDE"/>
    <w:rsid w:val="00BF1016"/>
    <w:rsid w:val="00BF10A8"/>
    <w:rsid w:val="00BF153D"/>
    <w:rsid w:val="00BF179C"/>
    <w:rsid w:val="00BF1A6D"/>
    <w:rsid w:val="00BF1AEE"/>
    <w:rsid w:val="00BF1C8F"/>
    <w:rsid w:val="00BF1EA2"/>
    <w:rsid w:val="00BF1EF6"/>
    <w:rsid w:val="00BF2125"/>
    <w:rsid w:val="00BF216D"/>
    <w:rsid w:val="00BF21AF"/>
    <w:rsid w:val="00BF2219"/>
    <w:rsid w:val="00BF2633"/>
    <w:rsid w:val="00BF2881"/>
    <w:rsid w:val="00BF30CA"/>
    <w:rsid w:val="00BF3228"/>
    <w:rsid w:val="00BF34E1"/>
    <w:rsid w:val="00BF37A7"/>
    <w:rsid w:val="00BF37E5"/>
    <w:rsid w:val="00BF3806"/>
    <w:rsid w:val="00BF38DB"/>
    <w:rsid w:val="00BF3A00"/>
    <w:rsid w:val="00BF3C12"/>
    <w:rsid w:val="00BF417E"/>
    <w:rsid w:val="00BF4203"/>
    <w:rsid w:val="00BF421E"/>
    <w:rsid w:val="00BF42D4"/>
    <w:rsid w:val="00BF4311"/>
    <w:rsid w:val="00BF47CE"/>
    <w:rsid w:val="00BF49F7"/>
    <w:rsid w:val="00BF4CAF"/>
    <w:rsid w:val="00BF4F19"/>
    <w:rsid w:val="00BF516A"/>
    <w:rsid w:val="00BF5539"/>
    <w:rsid w:val="00BF5641"/>
    <w:rsid w:val="00BF5896"/>
    <w:rsid w:val="00BF59BF"/>
    <w:rsid w:val="00BF5E20"/>
    <w:rsid w:val="00BF65AE"/>
    <w:rsid w:val="00BF682D"/>
    <w:rsid w:val="00BF6A6F"/>
    <w:rsid w:val="00BF6AD1"/>
    <w:rsid w:val="00BF6E06"/>
    <w:rsid w:val="00BF6F68"/>
    <w:rsid w:val="00BF70E9"/>
    <w:rsid w:val="00BF7136"/>
    <w:rsid w:val="00BF7269"/>
    <w:rsid w:val="00BF7348"/>
    <w:rsid w:val="00BF738D"/>
    <w:rsid w:val="00BF74F4"/>
    <w:rsid w:val="00BF7685"/>
    <w:rsid w:val="00BF7B3C"/>
    <w:rsid w:val="00BF7C08"/>
    <w:rsid w:val="00BF7E0A"/>
    <w:rsid w:val="00C00055"/>
    <w:rsid w:val="00C00152"/>
    <w:rsid w:val="00C00162"/>
    <w:rsid w:val="00C001DF"/>
    <w:rsid w:val="00C0056A"/>
    <w:rsid w:val="00C005CA"/>
    <w:rsid w:val="00C00708"/>
    <w:rsid w:val="00C007C0"/>
    <w:rsid w:val="00C00A84"/>
    <w:rsid w:val="00C015B7"/>
    <w:rsid w:val="00C0169C"/>
    <w:rsid w:val="00C016FC"/>
    <w:rsid w:val="00C018CB"/>
    <w:rsid w:val="00C019E2"/>
    <w:rsid w:val="00C01B0C"/>
    <w:rsid w:val="00C01DBA"/>
    <w:rsid w:val="00C01E75"/>
    <w:rsid w:val="00C01F16"/>
    <w:rsid w:val="00C02164"/>
    <w:rsid w:val="00C02197"/>
    <w:rsid w:val="00C021C1"/>
    <w:rsid w:val="00C02389"/>
    <w:rsid w:val="00C025CF"/>
    <w:rsid w:val="00C0280E"/>
    <w:rsid w:val="00C02823"/>
    <w:rsid w:val="00C02989"/>
    <w:rsid w:val="00C02A78"/>
    <w:rsid w:val="00C02C2A"/>
    <w:rsid w:val="00C02F86"/>
    <w:rsid w:val="00C03059"/>
    <w:rsid w:val="00C031C1"/>
    <w:rsid w:val="00C03251"/>
    <w:rsid w:val="00C0329B"/>
    <w:rsid w:val="00C03753"/>
    <w:rsid w:val="00C038CE"/>
    <w:rsid w:val="00C039CA"/>
    <w:rsid w:val="00C03D59"/>
    <w:rsid w:val="00C04056"/>
    <w:rsid w:val="00C040F7"/>
    <w:rsid w:val="00C04302"/>
    <w:rsid w:val="00C0432D"/>
    <w:rsid w:val="00C044E4"/>
    <w:rsid w:val="00C0481E"/>
    <w:rsid w:val="00C04B0F"/>
    <w:rsid w:val="00C04CF4"/>
    <w:rsid w:val="00C04D8A"/>
    <w:rsid w:val="00C04D9A"/>
    <w:rsid w:val="00C04DDB"/>
    <w:rsid w:val="00C04FFB"/>
    <w:rsid w:val="00C05048"/>
    <w:rsid w:val="00C0511F"/>
    <w:rsid w:val="00C053F1"/>
    <w:rsid w:val="00C05978"/>
    <w:rsid w:val="00C05994"/>
    <w:rsid w:val="00C05B70"/>
    <w:rsid w:val="00C05C44"/>
    <w:rsid w:val="00C05D4D"/>
    <w:rsid w:val="00C05F45"/>
    <w:rsid w:val="00C05FDB"/>
    <w:rsid w:val="00C06028"/>
    <w:rsid w:val="00C06048"/>
    <w:rsid w:val="00C061AE"/>
    <w:rsid w:val="00C064D7"/>
    <w:rsid w:val="00C06663"/>
    <w:rsid w:val="00C066BD"/>
    <w:rsid w:val="00C06747"/>
    <w:rsid w:val="00C069DD"/>
    <w:rsid w:val="00C06D26"/>
    <w:rsid w:val="00C06DE9"/>
    <w:rsid w:val="00C07644"/>
    <w:rsid w:val="00C076A2"/>
    <w:rsid w:val="00C07CE3"/>
    <w:rsid w:val="00C07D75"/>
    <w:rsid w:val="00C07EE8"/>
    <w:rsid w:val="00C07FCC"/>
    <w:rsid w:val="00C10064"/>
    <w:rsid w:val="00C10113"/>
    <w:rsid w:val="00C1032F"/>
    <w:rsid w:val="00C10548"/>
    <w:rsid w:val="00C108E8"/>
    <w:rsid w:val="00C10A4B"/>
    <w:rsid w:val="00C10B76"/>
    <w:rsid w:val="00C10D24"/>
    <w:rsid w:val="00C10DC3"/>
    <w:rsid w:val="00C11019"/>
    <w:rsid w:val="00C111EE"/>
    <w:rsid w:val="00C11655"/>
    <w:rsid w:val="00C11747"/>
    <w:rsid w:val="00C117CD"/>
    <w:rsid w:val="00C11BBF"/>
    <w:rsid w:val="00C11CCD"/>
    <w:rsid w:val="00C11F4D"/>
    <w:rsid w:val="00C11F83"/>
    <w:rsid w:val="00C12146"/>
    <w:rsid w:val="00C122FF"/>
    <w:rsid w:val="00C12BF5"/>
    <w:rsid w:val="00C12E30"/>
    <w:rsid w:val="00C1304C"/>
    <w:rsid w:val="00C13112"/>
    <w:rsid w:val="00C13187"/>
    <w:rsid w:val="00C13202"/>
    <w:rsid w:val="00C139E3"/>
    <w:rsid w:val="00C13C8B"/>
    <w:rsid w:val="00C13ED8"/>
    <w:rsid w:val="00C14285"/>
    <w:rsid w:val="00C142C2"/>
    <w:rsid w:val="00C14C81"/>
    <w:rsid w:val="00C14D97"/>
    <w:rsid w:val="00C15245"/>
    <w:rsid w:val="00C1584A"/>
    <w:rsid w:val="00C158BB"/>
    <w:rsid w:val="00C15B60"/>
    <w:rsid w:val="00C15CA3"/>
    <w:rsid w:val="00C15D18"/>
    <w:rsid w:val="00C15EDB"/>
    <w:rsid w:val="00C162CA"/>
    <w:rsid w:val="00C16552"/>
    <w:rsid w:val="00C1692E"/>
    <w:rsid w:val="00C16B8F"/>
    <w:rsid w:val="00C16E85"/>
    <w:rsid w:val="00C17264"/>
    <w:rsid w:val="00C1741D"/>
    <w:rsid w:val="00C174EB"/>
    <w:rsid w:val="00C177A1"/>
    <w:rsid w:val="00C177EB"/>
    <w:rsid w:val="00C1790F"/>
    <w:rsid w:val="00C17E38"/>
    <w:rsid w:val="00C17F06"/>
    <w:rsid w:val="00C20556"/>
    <w:rsid w:val="00C20890"/>
    <w:rsid w:val="00C2089D"/>
    <w:rsid w:val="00C20C8F"/>
    <w:rsid w:val="00C20D96"/>
    <w:rsid w:val="00C20DE5"/>
    <w:rsid w:val="00C20FA7"/>
    <w:rsid w:val="00C20FC6"/>
    <w:rsid w:val="00C20FFC"/>
    <w:rsid w:val="00C21318"/>
    <w:rsid w:val="00C21568"/>
    <w:rsid w:val="00C215F5"/>
    <w:rsid w:val="00C21861"/>
    <w:rsid w:val="00C2187B"/>
    <w:rsid w:val="00C218BD"/>
    <w:rsid w:val="00C218DC"/>
    <w:rsid w:val="00C21C1F"/>
    <w:rsid w:val="00C21C78"/>
    <w:rsid w:val="00C21E03"/>
    <w:rsid w:val="00C21F13"/>
    <w:rsid w:val="00C224EB"/>
    <w:rsid w:val="00C22819"/>
    <w:rsid w:val="00C22954"/>
    <w:rsid w:val="00C22970"/>
    <w:rsid w:val="00C22DC4"/>
    <w:rsid w:val="00C22F8A"/>
    <w:rsid w:val="00C23379"/>
    <w:rsid w:val="00C233D0"/>
    <w:rsid w:val="00C23509"/>
    <w:rsid w:val="00C23574"/>
    <w:rsid w:val="00C238C6"/>
    <w:rsid w:val="00C23C32"/>
    <w:rsid w:val="00C23C4C"/>
    <w:rsid w:val="00C23DA9"/>
    <w:rsid w:val="00C2484A"/>
    <w:rsid w:val="00C249F9"/>
    <w:rsid w:val="00C24AA1"/>
    <w:rsid w:val="00C24CA2"/>
    <w:rsid w:val="00C2507A"/>
    <w:rsid w:val="00C250C8"/>
    <w:rsid w:val="00C254BF"/>
    <w:rsid w:val="00C255AF"/>
    <w:rsid w:val="00C256B3"/>
    <w:rsid w:val="00C256C0"/>
    <w:rsid w:val="00C25A06"/>
    <w:rsid w:val="00C25A0D"/>
    <w:rsid w:val="00C25A15"/>
    <w:rsid w:val="00C25A8A"/>
    <w:rsid w:val="00C25A9B"/>
    <w:rsid w:val="00C25B30"/>
    <w:rsid w:val="00C25C8D"/>
    <w:rsid w:val="00C25ED8"/>
    <w:rsid w:val="00C264B1"/>
    <w:rsid w:val="00C265F3"/>
    <w:rsid w:val="00C26942"/>
    <w:rsid w:val="00C26B95"/>
    <w:rsid w:val="00C26E93"/>
    <w:rsid w:val="00C26ED4"/>
    <w:rsid w:val="00C2725F"/>
    <w:rsid w:val="00C27387"/>
    <w:rsid w:val="00C27502"/>
    <w:rsid w:val="00C27620"/>
    <w:rsid w:val="00C277D6"/>
    <w:rsid w:val="00C27A8F"/>
    <w:rsid w:val="00C27DA3"/>
    <w:rsid w:val="00C30804"/>
    <w:rsid w:val="00C30B57"/>
    <w:rsid w:val="00C30B74"/>
    <w:rsid w:val="00C30C63"/>
    <w:rsid w:val="00C30D29"/>
    <w:rsid w:val="00C30F7E"/>
    <w:rsid w:val="00C313CE"/>
    <w:rsid w:val="00C315E3"/>
    <w:rsid w:val="00C317D3"/>
    <w:rsid w:val="00C31A32"/>
    <w:rsid w:val="00C31C97"/>
    <w:rsid w:val="00C31E1D"/>
    <w:rsid w:val="00C31EF2"/>
    <w:rsid w:val="00C3208F"/>
    <w:rsid w:val="00C324F3"/>
    <w:rsid w:val="00C328A9"/>
    <w:rsid w:val="00C32D42"/>
    <w:rsid w:val="00C32F7F"/>
    <w:rsid w:val="00C333FD"/>
    <w:rsid w:val="00C3363E"/>
    <w:rsid w:val="00C33737"/>
    <w:rsid w:val="00C33912"/>
    <w:rsid w:val="00C339AB"/>
    <w:rsid w:val="00C339F3"/>
    <w:rsid w:val="00C33ABD"/>
    <w:rsid w:val="00C33F52"/>
    <w:rsid w:val="00C34408"/>
    <w:rsid w:val="00C3440E"/>
    <w:rsid w:val="00C34597"/>
    <w:rsid w:val="00C34762"/>
    <w:rsid w:val="00C348EA"/>
    <w:rsid w:val="00C34FC8"/>
    <w:rsid w:val="00C35980"/>
    <w:rsid w:val="00C35CFF"/>
    <w:rsid w:val="00C35F17"/>
    <w:rsid w:val="00C36155"/>
    <w:rsid w:val="00C361FD"/>
    <w:rsid w:val="00C36746"/>
    <w:rsid w:val="00C367D5"/>
    <w:rsid w:val="00C3690F"/>
    <w:rsid w:val="00C36F22"/>
    <w:rsid w:val="00C37312"/>
    <w:rsid w:val="00C37403"/>
    <w:rsid w:val="00C37818"/>
    <w:rsid w:val="00C378C3"/>
    <w:rsid w:val="00C37FE4"/>
    <w:rsid w:val="00C4009B"/>
    <w:rsid w:val="00C400A3"/>
    <w:rsid w:val="00C406EF"/>
    <w:rsid w:val="00C407D7"/>
    <w:rsid w:val="00C41136"/>
    <w:rsid w:val="00C411CA"/>
    <w:rsid w:val="00C4137D"/>
    <w:rsid w:val="00C41434"/>
    <w:rsid w:val="00C41443"/>
    <w:rsid w:val="00C41736"/>
    <w:rsid w:val="00C41808"/>
    <w:rsid w:val="00C41949"/>
    <w:rsid w:val="00C41D2C"/>
    <w:rsid w:val="00C41D97"/>
    <w:rsid w:val="00C42025"/>
    <w:rsid w:val="00C42208"/>
    <w:rsid w:val="00C422D8"/>
    <w:rsid w:val="00C42307"/>
    <w:rsid w:val="00C4263F"/>
    <w:rsid w:val="00C42677"/>
    <w:rsid w:val="00C42932"/>
    <w:rsid w:val="00C42A43"/>
    <w:rsid w:val="00C42D44"/>
    <w:rsid w:val="00C42FE1"/>
    <w:rsid w:val="00C4324E"/>
    <w:rsid w:val="00C432F6"/>
    <w:rsid w:val="00C435D5"/>
    <w:rsid w:val="00C43B5C"/>
    <w:rsid w:val="00C43B69"/>
    <w:rsid w:val="00C43C01"/>
    <w:rsid w:val="00C44194"/>
    <w:rsid w:val="00C4425C"/>
    <w:rsid w:val="00C44290"/>
    <w:rsid w:val="00C449BF"/>
    <w:rsid w:val="00C44ADE"/>
    <w:rsid w:val="00C44BBC"/>
    <w:rsid w:val="00C44BC8"/>
    <w:rsid w:val="00C44EDE"/>
    <w:rsid w:val="00C4516F"/>
    <w:rsid w:val="00C453A8"/>
    <w:rsid w:val="00C455DE"/>
    <w:rsid w:val="00C4592C"/>
    <w:rsid w:val="00C459BD"/>
    <w:rsid w:val="00C45B24"/>
    <w:rsid w:val="00C45F54"/>
    <w:rsid w:val="00C45FE8"/>
    <w:rsid w:val="00C4618B"/>
    <w:rsid w:val="00C462E5"/>
    <w:rsid w:val="00C462FF"/>
    <w:rsid w:val="00C4630B"/>
    <w:rsid w:val="00C4639A"/>
    <w:rsid w:val="00C464A3"/>
    <w:rsid w:val="00C46547"/>
    <w:rsid w:val="00C466C6"/>
    <w:rsid w:val="00C467AF"/>
    <w:rsid w:val="00C46870"/>
    <w:rsid w:val="00C46981"/>
    <w:rsid w:val="00C46C81"/>
    <w:rsid w:val="00C46F75"/>
    <w:rsid w:val="00C471E0"/>
    <w:rsid w:val="00C47368"/>
    <w:rsid w:val="00C47536"/>
    <w:rsid w:val="00C4767D"/>
    <w:rsid w:val="00C47883"/>
    <w:rsid w:val="00C47969"/>
    <w:rsid w:val="00C47CC6"/>
    <w:rsid w:val="00C5011C"/>
    <w:rsid w:val="00C503EB"/>
    <w:rsid w:val="00C504F6"/>
    <w:rsid w:val="00C505C8"/>
    <w:rsid w:val="00C50BDA"/>
    <w:rsid w:val="00C50E0E"/>
    <w:rsid w:val="00C5104C"/>
    <w:rsid w:val="00C5106A"/>
    <w:rsid w:val="00C5110B"/>
    <w:rsid w:val="00C5131B"/>
    <w:rsid w:val="00C51627"/>
    <w:rsid w:val="00C51759"/>
    <w:rsid w:val="00C51C4C"/>
    <w:rsid w:val="00C51CDE"/>
    <w:rsid w:val="00C5223B"/>
    <w:rsid w:val="00C522A4"/>
    <w:rsid w:val="00C52337"/>
    <w:rsid w:val="00C523C3"/>
    <w:rsid w:val="00C52567"/>
    <w:rsid w:val="00C5271D"/>
    <w:rsid w:val="00C528A6"/>
    <w:rsid w:val="00C528DD"/>
    <w:rsid w:val="00C529C0"/>
    <w:rsid w:val="00C53009"/>
    <w:rsid w:val="00C53092"/>
    <w:rsid w:val="00C53116"/>
    <w:rsid w:val="00C53414"/>
    <w:rsid w:val="00C5388C"/>
    <w:rsid w:val="00C53B2B"/>
    <w:rsid w:val="00C53C83"/>
    <w:rsid w:val="00C53D8C"/>
    <w:rsid w:val="00C53DD5"/>
    <w:rsid w:val="00C5486F"/>
    <w:rsid w:val="00C54C3B"/>
    <w:rsid w:val="00C54EE2"/>
    <w:rsid w:val="00C55BF7"/>
    <w:rsid w:val="00C55D51"/>
    <w:rsid w:val="00C561A7"/>
    <w:rsid w:val="00C56455"/>
    <w:rsid w:val="00C568DB"/>
    <w:rsid w:val="00C56990"/>
    <w:rsid w:val="00C56AAF"/>
    <w:rsid w:val="00C56C4E"/>
    <w:rsid w:val="00C56D5A"/>
    <w:rsid w:val="00C571AC"/>
    <w:rsid w:val="00C573B0"/>
    <w:rsid w:val="00C5753E"/>
    <w:rsid w:val="00C57587"/>
    <w:rsid w:val="00C577FB"/>
    <w:rsid w:val="00C5791B"/>
    <w:rsid w:val="00C579D6"/>
    <w:rsid w:val="00C57B8F"/>
    <w:rsid w:val="00C6010D"/>
    <w:rsid w:val="00C60116"/>
    <w:rsid w:val="00C608EF"/>
    <w:rsid w:val="00C608FB"/>
    <w:rsid w:val="00C60C62"/>
    <w:rsid w:val="00C6109E"/>
    <w:rsid w:val="00C61360"/>
    <w:rsid w:val="00C6160A"/>
    <w:rsid w:val="00C61735"/>
    <w:rsid w:val="00C61757"/>
    <w:rsid w:val="00C61AAC"/>
    <w:rsid w:val="00C61B6B"/>
    <w:rsid w:val="00C61C3D"/>
    <w:rsid w:val="00C61CC1"/>
    <w:rsid w:val="00C61D9C"/>
    <w:rsid w:val="00C61DEB"/>
    <w:rsid w:val="00C61DED"/>
    <w:rsid w:val="00C61E65"/>
    <w:rsid w:val="00C626D5"/>
    <w:rsid w:val="00C6280A"/>
    <w:rsid w:val="00C62902"/>
    <w:rsid w:val="00C629B1"/>
    <w:rsid w:val="00C62A49"/>
    <w:rsid w:val="00C62AA1"/>
    <w:rsid w:val="00C62D8F"/>
    <w:rsid w:val="00C62E29"/>
    <w:rsid w:val="00C62EBF"/>
    <w:rsid w:val="00C6307B"/>
    <w:rsid w:val="00C633C4"/>
    <w:rsid w:val="00C63838"/>
    <w:rsid w:val="00C64031"/>
    <w:rsid w:val="00C64155"/>
    <w:rsid w:val="00C64224"/>
    <w:rsid w:val="00C64D07"/>
    <w:rsid w:val="00C64EB5"/>
    <w:rsid w:val="00C650DD"/>
    <w:rsid w:val="00C6530D"/>
    <w:rsid w:val="00C65601"/>
    <w:rsid w:val="00C65623"/>
    <w:rsid w:val="00C656B0"/>
    <w:rsid w:val="00C656F6"/>
    <w:rsid w:val="00C657CA"/>
    <w:rsid w:val="00C65C9B"/>
    <w:rsid w:val="00C65DD4"/>
    <w:rsid w:val="00C65E8A"/>
    <w:rsid w:val="00C66058"/>
    <w:rsid w:val="00C661A6"/>
    <w:rsid w:val="00C661D7"/>
    <w:rsid w:val="00C662BA"/>
    <w:rsid w:val="00C662F0"/>
    <w:rsid w:val="00C663CA"/>
    <w:rsid w:val="00C6663E"/>
    <w:rsid w:val="00C6666B"/>
    <w:rsid w:val="00C6678F"/>
    <w:rsid w:val="00C66791"/>
    <w:rsid w:val="00C669B1"/>
    <w:rsid w:val="00C66BFB"/>
    <w:rsid w:val="00C66EF9"/>
    <w:rsid w:val="00C672DC"/>
    <w:rsid w:val="00C676EC"/>
    <w:rsid w:val="00C6784D"/>
    <w:rsid w:val="00C67A9E"/>
    <w:rsid w:val="00C7026A"/>
    <w:rsid w:val="00C7047C"/>
    <w:rsid w:val="00C70D18"/>
    <w:rsid w:val="00C70EAB"/>
    <w:rsid w:val="00C71181"/>
    <w:rsid w:val="00C712A0"/>
    <w:rsid w:val="00C71C7C"/>
    <w:rsid w:val="00C725D1"/>
    <w:rsid w:val="00C729F5"/>
    <w:rsid w:val="00C72B6C"/>
    <w:rsid w:val="00C72B7A"/>
    <w:rsid w:val="00C72FEE"/>
    <w:rsid w:val="00C73255"/>
    <w:rsid w:val="00C7327B"/>
    <w:rsid w:val="00C733C5"/>
    <w:rsid w:val="00C733E0"/>
    <w:rsid w:val="00C73868"/>
    <w:rsid w:val="00C7398E"/>
    <w:rsid w:val="00C73A82"/>
    <w:rsid w:val="00C73D7D"/>
    <w:rsid w:val="00C741C9"/>
    <w:rsid w:val="00C74359"/>
    <w:rsid w:val="00C74414"/>
    <w:rsid w:val="00C74683"/>
    <w:rsid w:val="00C74736"/>
    <w:rsid w:val="00C74DCE"/>
    <w:rsid w:val="00C74F0E"/>
    <w:rsid w:val="00C754D7"/>
    <w:rsid w:val="00C7559D"/>
    <w:rsid w:val="00C759F8"/>
    <w:rsid w:val="00C75BD2"/>
    <w:rsid w:val="00C766CF"/>
    <w:rsid w:val="00C7694F"/>
    <w:rsid w:val="00C76A12"/>
    <w:rsid w:val="00C76CED"/>
    <w:rsid w:val="00C76DDE"/>
    <w:rsid w:val="00C76DE1"/>
    <w:rsid w:val="00C77085"/>
    <w:rsid w:val="00C7712F"/>
    <w:rsid w:val="00C77185"/>
    <w:rsid w:val="00C77334"/>
    <w:rsid w:val="00C77355"/>
    <w:rsid w:val="00C77462"/>
    <w:rsid w:val="00C77471"/>
    <w:rsid w:val="00C77501"/>
    <w:rsid w:val="00C77520"/>
    <w:rsid w:val="00C7765E"/>
    <w:rsid w:val="00C7765F"/>
    <w:rsid w:val="00C7787F"/>
    <w:rsid w:val="00C77D38"/>
    <w:rsid w:val="00C77E6D"/>
    <w:rsid w:val="00C77EFE"/>
    <w:rsid w:val="00C77F88"/>
    <w:rsid w:val="00C77FB9"/>
    <w:rsid w:val="00C801D1"/>
    <w:rsid w:val="00C80257"/>
    <w:rsid w:val="00C803FB"/>
    <w:rsid w:val="00C80594"/>
    <w:rsid w:val="00C80749"/>
    <w:rsid w:val="00C80B87"/>
    <w:rsid w:val="00C811F4"/>
    <w:rsid w:val="00C811F9"/>
    <w:rsid w:val="00C812A7"/>
    <w:rsid w:val="00C812F1"/>
    <w:rsid w:val="00C81326"/>
    <w:rsid w:val="00C81D25"/>
    <w:rsid w:val="00C82078"/>
    <w:rsid w:val="00C822E3"/>
    <w:rsid w:val="00C824F8"/>
    <w:rsid w:val="00C8255F"/>
    <w:rsid w:val="00C825D2"/>
    <w:rsid w:val="00C8263F"/>
    <w:rsid w:val="00C826D3"/>
    <w:rsid w:val="00C82758"/>
    <w:rsid w:val="00C82AFC"/>
    <w:rsid w:val="00C83010"/>
    <w:rsid w:val="00C8303D"/>
    <w:rsid w:val="00C831CF"/>
    <w:rsid w:val="00C8324B"/>
    <w:rsid w:val="00C83384"/>
    <w:rsid w:val="00C834B0"/>
    <w:rsid w:val="00C8395E"/>
    <w:rsid w:val="00C839AB"/>
    <w:rsid w:val="00C839D2"/>
    <w:rsid w:val="00C83AB1"/>
    <w:rsid w:val="00C83AB7"/>
    <w:rsid w:val="00C8445E"/>
    <w:rsid w:val="00C84729"/>
    <w:rsid w:val="00C84768"/>
    <w:rsid w:val="00C84C08"/>
    <w:rsid w:val="00C84C8C"/>
    <w:rsid w:val="00C84CE7"/>
    <w:rsid w:val="00C850C2"/>
    <w:rsid w:val="00C85327"/>
    <w:rsid w:val="00C854A4"/>
    <w:rsid w:val="00C854F1"/>
    <w:rsid w:val="00C85696"/>
    <w:rsid w:val="00C85788"/>
    <w:rsid w:val="00C85DC0"/>
    <w:rsid w:val="00C85FCC"/>
    <w:rsid w:val="00C861DA"/>
    <w:rsid w:val="00C862D4"/>
    <w:rsid w:val="00C863A2"/>
    <w:rsid w:val="00C8645A"/>
    <w:rsid w:val="00C864D0"/>
    <w:rsid w:val="00C8662D"/>
    <w:rsid w:val="00C868CF"/>
    <w:rsid w:val="00C869B3"/>
    <w:rsid w:val="00C86BB0"/>
    <w:rsid w:val="00C86C3B"/>
    <w:rsid w:val="00C86E7C"/>
    <w:rsid w:val="00C86F45"/>
    <w:rsid w:val="00C86FEE"/>
    <w:rsid w:val="00C8705E"/>
    <w:rsid w:val="00C8719A"/>
    <w:rsid w:val="00C87204"/>
    <w:rsid w:val="00C8748C"/>
    <w:rsid w:val="00C874C4"/>
    <w:rsid w:val="00C8778C"/>
    <w:rsid w:val="00C87887"/>
    <w:rsid w:val="00C878C3"/>
    <w:rsid w:val="00C879D4"/>
    <w:rsid w:val="00C87EDF"/>
    <w:rsid w:val="00C900B8"/>
    <w:rsid w:val="00C901F7"/>
    <w:rsid w:val="00C90266"/>
    <w:rsid w:val="00C9039C"/>
    <w:rsid w:val="00C903A6"/>
    <w:rsid w:val="00C90528"/>
    <w:rsid w:val="00C90736"/>
    <w:rsid w:val="00C9077D"/>
    <w:rsid w:val="00C9081D"/>
    <w:rsid w:val="00C909D6"/>
    <w:rsid w:val="00C90C89"/>
    <w:rsid w:val="00C90CAA"/>
    <w:rsid w:val="00C90D23"/>
    <w:rsid w:val="00C91193"/>
    <w:rsid w:val="00C91369"/>
    <w:rsid w:val="00C91453"/>
    <w:rsid w:val="00C9164B"/>
    <w:rsid w:val="00C91A8E"/>
    <w:rsid w:val="00C91F8E"/>
    <w:rsid w:val="00C91FCE"/>
    <w:rsid w:val="00C9229C"/>
    <w:rsid w:val="00C9231E"/>
    <w:rsid w:val="00C924C0"/>
    <w:rsid w:val="00C9256D"/>
    <w:rsid w:val="00C9293B"/>
    <w:rsid w:val="00C92C2A"/>
    <w:rsid w:val="00C92C9B"/>
    <w:rsid w:val="00C92EC1"/>
    <w:rsid w:val="00C92F5D"/>
    <w:rsid w:val="00C92FC7"/>
    <w:rsid w:val="00C934E1"/>
    <w:rsid w:val="00C93547"/>
    <w:rsid w:val="00C935B5"/>
    <w:rsid w:val="00C936D7"/>
    <w:rsid w:val="00C9395F"/>
    <w:rsid w:val="00C93C72"/>
    <w:rsid w:val="00C93FAC"/>
    <w:rsid w:val="00C94131"/>
    <w:rsid w:val="00C944D2"/>
    <w:rsid w:val="00C94C04"/>
    <w:rsid w:val="00C94C43"/>
    <w:rsid w:val="00C94E22"/>
    <w:rsid w:val="00C950AC"/>
    <w:rsid w:val="00C950BA"/>
    <w:rsid w:val="00C951B5"/>
    <w:rsid w:val="00C9536A"/>
    <w:rsid w:val="00C9541A"/>
    <w:rsid w:val="00C95796"/>
    <w:rsid w:val="00C95A63"/>
    <w:rsid w:val="00C95EFA"/>
    <w:rsid w:val="00C9623C"/>
    <w:rsid w:val="00C96269"/>
    <w:rsid w:val="00C963AC"/>
    <w:rsid w:val="00C964B9"/>
    <w:rsid w:val="00C9690E"/>
    <w:rsid w:val="00C96AAF"/>
    <w:rsid w:val="00C96B22"/>
    <w:rsid w:val="00C96CD6"/>
    <w:rsid w:val="00C96EA2"/>
    <w:rsid w:val="00C96F18"/>
    <w:rsid w:val="00C9718C"/>
    <w:rsid w:val="00C9761D"/>
    <w:rsid w:val="00C97847"/>
    <w:rsid w:val="00C97868"/>
    <w:rsid w:val="00C97889"/>
    <w:rsid w:val="00C97A9C"/>
    <w:rsid w:val="00CA02AA"/>
    <w:rsid w:val="00CA084C"/>
    <w:rsid w:val="00CA0D55"/>
    <w:rsid w:val="00CA0E99"/>
    <w:rsid w:val="00CA1247"/>
    <w:rsid w:val="00CA129D"/>
    <w:rsid w:val="00CA13D0"/>
    <w:rsid w:val="00CA150C"/>
    <w:rsid w:val="00CA17AD"/>
    <w:rsid w:val="00CA193D"/>
    <w:rsid w:val="00CA1C30"/>
    <w:rsid w:val="00CA286A"/>
    <w:rsid w:val="00CA295F"/>
    <w:rsid w:val="00CA2BF0"/>
    <w:rsid w:val="00CA2D8E"/>
    <w:rsid w:val="00CA300B"/>
    <w:rsid w:val="00CA353D"/>
    <w:rsid w:val="00CA36DE"/>
    <w:rsid w:val="00CA3716"/>
    <w:rsid w:val="00CA3DB0"/>
    <w:rsid w:val="00CA3EAF"/>
    <w:rsid w:val="00CA44AC"/>
    <w:rsid w:val="00CA44DB"/>
    <w:rsid w:val="00CA4574"/>
    <w:rsid w:val="00CA4789"/>
    <w:rsid w:val="00CA48E6"/>
    <w:rsid w:val="00CA49DC"/>
    <w:rsid w:val="00CA4A9D"/>
    <w:rsid w:val="00CA4D31"/>
    <w:rsid w:val="00CA4D56"/>
    <w:rsid w:val="00CA4F2A"/>
    <w:rsid w:val="00CA4FEE"/>
    <w:rsid w:val="00CA5018"/>
    <w:rsid w:val="00CA50F3"/>
    <w:rsid w:val="00CA511C"/>
    <w:rsid w:val="00CA522C"/>
    <w:rsid w:val="00CA5311"/>
    <w:rsid w:val="00CA5598"/>
    <w:rsid w:val="00CA5673"/>
    <w:rsid w:val="00CA56CD"/>
    <w:rsid w:val="00CA5F09"/>
    <w:rsid w:val="00CA5F66"/>
    <w:rsid w:val="00CA610A"/>
    <w:rsid w:val="00CA66D4"/>
    <w:rsid w:val="00CA6C5B"/>
    <w:rsid w:val="00CA6D09"/>
    <w:rsid w:val="00CA704C"/>
    <w:rsid w:val="00CA7152"/>
    <w:rsid w:val="00CA78D6"/>
    <w:rsid w:val="00CA793E"/>
    <w:rsid w:val="00CA7AED"/>
    <w:rsid w:val="00CA7AFD"/>
    <w:rsid w:val="00CA7C03"/>
    <w:rsid w:val="00CA7C0A"/>
    <w:rsid w:val="00CB002C"/>
    <w:rsid w:val="00CB0235"/>
    <w:rsid w:val="00CB05AA"/>
    <w:rsid w:val="00CB063A"/>
    <w:rsid w:val="00CB0790"/>
    <w:rsid w:val="00CB08CA"/>
    <w:rsid w:val="00CB0965"/>
    <w:rsid w:val="00CB0B18"/>
    <w:rsid w:val="00CB0DFF"/>
    <w:rsid w:val="00CB154A"/>
    <w:rsid w:val="00CB1842"/>
    <w:rsid w:val="00CB1929"/>
    <w:rsid w:val="00CB1BB5"/>
    <w:rsid w:val="00CB1CC9"/>
    <w:rsid w:val="00CB1E2E"/>
    <w:rsid w:val="00CB24AB"/>
    <w:rsid w:val="00CB2687"/>
    <w:rsid w:val="00CB2838"/>
    <w:rsid w:val="00CB2839"/>
    <w:rsid w:val="00CB2840"/>
    <w:rsid w:val="00CB28EE"/>
    <w:rsid w:val="00CB2C57"/>
    <w:rsid w:val="00CB370F"/>
    <w:rsid w:val="00CB375E"/>
    <w:rsid w:val="00CB3C2E"/>
    <w:rsid w:val="00CB3CC6"/>
    <w:rsid w:val="00CB3EB1"/>
    <w:rsid w:val="00CB3EF6"/>
    <w:rsid w:val="00CB3F45"/>
    <w:rsid w:val="00CB41F7"/>
    <w:rsid w:val="00CB41FC"/>
    <w:rsid w:val="00CB457C"/>
    <w:rsid w:val="00CB4947"/>
    <w:rsid w:val="00CB4A20"/>
    <w:rsid w:val="00CB4A9E"/>
    <w:rsid w:val="00CB55B3"/>
    <w:rsid w:val="00CB55B4"/>
    <w:rsid w:val="00CB5DCD"/>
    <w:rsid w:val="00CB5E71"/>
    <w:rsid w:val="00CB5EDE"/>
    <w:rsid w:val="00CB6238"/>
    <w:rsid w:val="00CB6265"/>
    <w:rsid w:val="00CB65A4"/>
    <w:rsid w:val="00CB6659"/>
    <w:rsid w:val="00CB6672"/>
    <w:rsid w:val="00CB6699"/>
    <w:rsid w:val="00CB67E3"/>
    <w:rsid w:val="00CB68D0"/>
    <w:rsid w:val="00CB6B51"/>
    <w:rsid w:val="00CB71A7"/>
    <w:rsid w:val="00CB723A"/>
    <w:rsid w:val="00CB73EE"/>
    <w:rsid w:val="00CB7420"/>
    <w:rsid w:val="00CB771A"/>
    <w:rsid w:val="00CB780D"/>
    <w:rsid w:val="00CB7B26"/>
    <w:rsid w:val="00CB7C60"/>
    <w:rsid w:val="00CB7EB3"/>
    <w:rsid w:val="00CC026C"/>
    <w:rsid w:val="00CC0422"/>
    <w:rsid w:val="00CC0533"/>
    <w:rsid w:val="00CC0631"/>
    <w:rsid w:val="00CC0949"/>
    <w:rsid w:val="00CC09DB"/>
    <w:rsid w:val="00CC09DF"/>
    <w:rsid w:val="00CC0B77"/>
    <w:rsid w:val="00CC0C93"/>
    <w:rsid w:val="00CC0E4C"/>
    <w:rsid w:val="00CC0FBA"/>
    <w:rsid w:val="00CC106D"/>
    <w:rsid w:val="00CC138F"/>
    <w:rsid w:val="00CC16C3"/>
    <w:rsid w:val="00CC1719"/>
    <w:rsid w:val="00CC173E"/>
    <w:rsid w:val="00CC1812"/>
    <w:rsid w:val="00CC1926"/>
    <w:rsid w:val="00CC1A26"/>
    <w:rsid w:val="00CC1B14"/>
    <w:rsid w:val="00CC213E"/>
    <w:rsid w:val="00CC2292"/>
    <w:rsid w:val="00CC29E9"/>
    <w:rsid w:val="00CC2C7D"/>
    <w:rsid w:val="00CC2DB6"/>
    <w:rsid w:val="00CC2DBC"/>
    <w:rsid w:val="00CC2E28"/>
    <w:rsid w:val="00CC3109"/>
    <w:rsid w:val="00CC3227"/>
    <w:rsid w:val="00CC335A"/>
    <w:rsid w:val="00CC34A5"/>
    <w:rsid w:val="00CC39C3"/>
    <w:rsid w:val="00CC3B01"/>
    <w:rsid w:val="00CC3DCB"/>
    <w:rsid w:val="00CC407E"/>
    <w:rsid w:val="00CC40BB"/>
    <w:rsid w:val="00CC41BB"/>
    <w:rsid w:val="00CC42EE"/>
    <w:rsid w:val="00CC44B0"/>
    <w:rsid w:val="00CC4552"/>
    <w:rsid w:val="00CC46B4"/>
    <w:rsid w:val="00CC46F3"/>
    <w:rsid w:val="00CC4BB3"/>
    <w:rsid w:val="00CC4E21"/>
    <w:rsid w:val="00CC50F3"/>
    <w:rsid w:val="00CC527A"/>
    <w:rsid w:val="00CC5623"/>
    <w:rsid w:val="00CC5881"/>
    <w:rsid w:val="00CC5A01"/>
    <w:rsid w:val="00CC5A6D"/>
    <w:rsid w:val="00CC5B1F"/>
    <w:rsid w:val="00CC5D0E"/>
    <w:rsid w:val="00CC5D6D"/>
    <w:rsid w:val="00CC5F28"/>
    <w:rsid w:val="00CC5F82"/>
    <w:rsid w:val="00CC5F8A"/>
    <w:rsid w:val="00CC623F"/>
    <w:rsid w:val="00CC638C"/>
    <w:rsid w:val="00CC66FE"/>
    <w:rsid w:val="00CC6984"/>
    <w:rsid w:val="00CC69FC"/>
    <w:rsid w:val="00CC6B81"/>
    <w:rsid w:val="00CC6CF7"/>
    <w:rsid w:val="00CC6D8B"/>
    <w:rsid w:val="00CC7126"/>
    <w:rsid w:val="00CC7149"/>
    <w:rsid w:val="00CC726A"/>
    <w:rsid w:val="00CC74A8"/>
    <w:rsid w:val="00CC78A0"/>
    <w:rsid w:val="00CC79B7"/>
    <w:rsid w:val="00CC79CD"/>
    <w:rsid w:val="00CC79FE"/>
    <w:rsid w:val="00CC7A68"/>
    <w:rsid w:val="00CC7B4E"/>
    <w:rsid w:val="00CC7CFF"/>
    <w:rsid w:val="00CC7D0C"/>
    <w:rsid w:val="00CC7DF7"/>
    <w:rsid w:val="00CD00AE"/>
    <w:rsid w:val="00CD0602"/>
    <w:rsid w:val="00CD09DB"/>
    <w:rsid w:val="00CD0D46"/>
    <w:rsid w:val="00CD14D9"/>
    <w:rsid w:val="00CD1581"/>
    <w:rsid w:val="00CD1A30"/>
    <w:rsid w:val="00CD1A76"/>
    <w:rsid w:val="00CD1C8C"/>
    <w:rsid w:val="00CD2117"/>
    <w:rsid w:val="00CD2165"/>
    <w:rsid w:val="00CD26CB"/>
    <w:rsid w:val="00CD2955"/>
    <w:rsid w:val="00CD2BAE"/>
    <w:rsid w:val="00CD3468"/>
    <w:rsid w:val="00CD351F"/>
    <w:rsid w:val="00CD3545"/>
    <w:rsid w:val="00CD3677"/>
    <w:rsid w:val="00CD367D"/>
    <w:rsid w:val="00CD3765"/>
    <w:rsid w:val="00CD39CA"/>
    <w:rsid w:val="00CD3A68"/>
    <w:rsid w:val="00CD3B7A"/>
    <w:rsid w:val="00CD3BDA"/>
    <w:rsid w:val="00CD3BDD"/>
    <w:rsid w:val="00CD3C88"/>
    <w:rsid w:val="00CD3E06"/>
    <w:rsid w:val="00CD40C2"/>
    <w:rsid w:val="00CD4142"/>
    <w:rsid w:val="00CD419E"/>
    <w:rsid w:val="00CD41BC"/>
    <w:rsid w:val="00CD41DD"/>
    <w:rsid w:val="00CD4218"/>
    <w:rsid w:val="00CD42E0"/>
    <w:rsid w:val="00CD4375"/>
    <w:rsid w:val="00CD438C"/>
    <w:rsid w:val="00CD45AB"/>
    <w:rsid w:val="00CD4706"/>
    <w:rsid w:val="00CD47BB"/>
    <w:rsid w:val="00CD4E10"/>
    <w:rsid w:val="00CD4F23"/>
    <w:rsid w:val="00CD4F79"/>
    <w:rsid w:val="00CD5565"/>
    <w:rsid w:val="00CD558D"/>
    <w:rsid w:val="00CD5630"/>
    <w:rsid w:val="00CD5754"/>
    <w:rsid w:val="00CD5885"/>
    <w:rsid w:val="00CD595A"/>
    <w:rsid w:val="00CD6435"/>
    <w:rsid w:val="00CD659D"/>
    <w:rsid w:val="00CD6726"/>
    <w:rsid w:val="00CD6899"/>
    <w:rsid w:val="00CD6A33"/>
    <w:rsid w:val="00CD76D6"/>
    <w:rsid w:val="00CD77AE"/>
    <w:rsid w:val="00CD7812"/>
    <w:rsid w:val="00CD79B9"/>
    <w:rsid w:val="00CD7B12"/>
    <w:rsid w:val="00CD7BE2"/>
    <w:rsid w:val="00CD7DA7"/>
    <w:rsid w:val="00CE0658"/>
    <w:rsid w:val="00CE06C6"/>
    <w:rsid w:val="00CE076A"/>
    <w:rsid w:val="00CE07F1"/>
    <w:rsid w:val="00CE0BB8"/>
    <w:rsid w:val="00CE0D1B"/>
    <w:rsid w:val="00CE0F58"/>
    <w:rsid w:val="00CE1042"/>
    <w:rsid w:val="00CE104E"/>
    <w:rsid w:val="00CE107E"/>
    <w:rsid w:val="00CE12D0"/>
    <w:rsid w:val="00CE1539"/>
    <w:rsid w:val="00CE169A"/>
    <w:rsid w:val="00CE16BC"/>
    <w:rsid w:val="00CE1C67"/>
    <w:rsid w:val="00CE1DC9"/>
    <w:rsid w:val="00CE1E93"/>
    <w:rsid w:val="00CE2271"/>
    <w:rsid w:val="00CE242D"/>
    <w:rsid w:val="00CE2464"/>
    <w:rsid w:val="00CE28C7"/>
    <w:rsid w:val="00CE29E4"/>
    <w:rsid w:val="00CE2C17"/>
    <w:rsid w:val="00CE30A6"/>
    <w:rsid w:val="00CE3187"/>
    <w:rsid w:val="00CE34EC"/>
    <w:rsid w:val="00CE356E"/>
    <w:rsid w:val="00CE3732"/>
    <w:rsid w:val="00CE3763"/>
    <w:rsid w:val="00CE3889"/>
    <w:rsid w:val="00CE3955"/>
    <w:rsid w:val="00CE3A54"/>
    <w:rsid w:val="00CE3E3C"/>
    <w:rsid w:val="00CE420E"/>
    <w:rsid w:val="00CE426A"/>
    <w:rsid w:val="00CE4459"/>
    <w:rsid w:val="00CE4646"/>
    <w:rsid w:val="00CE468C"/>
    <w:rsid w:val="00CE47A2"/>
    <w:rsid w:val="00CE4B63"/>
    <w:rsid w:val="00CE5175"/>
    <w:rsid w:val="00CE5317"/>
    <w:rsid w:val="00CE536F"/>
    <w:rsid w:val="00CE53A0"/>
    <w:rsid w:val="00CE5565"/>
    <w:rsid w:val="00CE55EF"/>
    <w:rsid w:val="00CE584A"/>
    <w:rsid w:val="00CE586E"/>
    <w:rsid w:val="00CE5A7F"/>
    <w:rsid w:val="00CE5E54"/>
    <w:rsid w:val="00CE5E91"/>
    <w:rsid w:val="00CE5EB9"/>
    <w:rsid w:val="00CE60EA"/>
    <w:rsid w:val="00CE61C8"/>
    <w:rsid w:val="00CE646A"/>
    <w:rsid w:val="00CE6837"/>
    <w:rsid w:val="00CE6A10"/>
    <w:rsid w:val="00CE6CBE"/>
    <w:rsid w:val="00CE6F45"/>
    <w:rsid w:val="00CE716A"/>
    <w:rsid w:val="00CE72B2"/>
    <w:rsid w:val="00CE7798"/>
    <w:rsid w:val="00CE7962"/>
    <w:rsid w:val="00CE7E87"/>
    <w:rsid w:val="00CE7E95"/>
    <w:rsid w:val="00CE7EE2"/>
    <w:rsid w:val="00CF009D"/>
    <w:rsid w:val="00CF0907"/>
    <w:rsid w:val="00CF0B70"/>
    <w:rsid w:val="00CF0E12"/>
    <w:rsid w:val="00CF1108"/>
    <w:rsid w:val="00CF132A"/>
    <w:rsid w:val="00CF177F"/>
    <w:rsid w:val="00CF189D"/>
    <w:rsid w:val="00CF1A56"/>
    <w:rsid w:val="00CF1CA0"/>
    <w:rsid w:val="00CF1E75"/>
    <w:rsid w:val="00CF2000"/>
    <w:rsid w:val="00CF228D"/>
    <w:rsid w:val="00CF2328"/>
    <w:rsid w:val="00CF2524"/>
    <w:rsid w:val="00CF29C6"/>
    <w:rsid w:val="00CF2A55"/>
    <w:rsid w:val="00CF2B80"/>
    <w:rsid w:val="00CF2D28"/>
    <w:rsid w:val="00CF30D6"/>
    <w:rsid w:val="00CF3542"/>
    <w:rsid w:val="00CF3B52"/>
    <w:rsid w:val="00CF3C3E"/>
    <w:rsid w:val="00CF41E7"/>
    <w:rsid w:val="00CF42CB"/>
    <w:rsid w:val="00CF459D"/>
    <w:rsid w:val="00CF4919"/>
    <w:rsid w:val="00CF4BC9"/>
    <w:rsid w:val="00CF4CD5"/>
    <w:rsid w:val="00CF51AD"/>
    <w:rsid w:val="00CF51B0"/>
    <w:rsid w:val="00CF520E"/>
    <w:rsid w:val="00CF55C8"/>
    <w:rsid w:val="00CF56E9"/>
    <w:rsid w:val="00CF581A"/>
    <w:rsid w:val="00CF5CC8"/>
    <w:rsid w:val="00CF5D12"/>
    <w:rsid w:val="00CF5DA4"/>
    <w:rsid w:val="00CF5DFC"/>
    <w:rsid w:val="00CF61A5"/>
    <w:rsid w:val="00CF6309"/>
    <w:rsid w:val="00CF6311"/>
    <w:rsid w:val="00CF645A"/>
    <w:rsid w:val="00CF6508"/>
    <w:rsid w:val="00CF662B"/>
    <w:rsid w:val="00CF6950"/>
    <w:rsid w:val="00CF6EF5"/>
    <w:rsid w:val="00CF6F91"/>
    <w:rsid w:val="00CF7285"/>
    <w:rsid w:val="00CF74BE"/>
    <w:rsid w:val="00CF750E"/>
    <w:rsid w:val="00CF782F"/>
    <w:rsid w:val="00CF790E"/>
    <w:rsid w:val="00CF7A51"/>
    <w:rsid w:val="00CF7B59"/>
    <w:rsid w:val="00CF7B73"/>
    <w:rsid w:val="00CF7D4F"/>
    <w:rsid w:val="00CF7E32"/>
    <w:rsid w:val="00D0054C"/>
    <w:rsid w:val="00D005E5"/>
    <w:rsid w:val="00D0070C"/>
    <w:rsid w:val="00D00C69"/>
    <w:rsid w:val="00D00CC6"/>
    <w:rsid w:val="00D01182"/>
    <w:rsid w:val="00D0121B"/>
    <w:rsid w:val="00D0140D"/>
    <w:rsid w:val="00D0157A"/>
    <w:rsid w:val="00D017E3"/>
    <w:rsid w:val="00D018F2"/>
    <w:rsid w:val="00D0190F"/>
    <w:rsid w:val="00D01953"/>
    <w:rsid w:val="00D01D79"/>
    <w:rsid w:val="00D01E10"/>
    <w:rsid w:val="00D021AD"/>
    <w:rsid w:val="00D02232"/>
    <w:rsid w:val="00D02666"/>
    <w:rsid w:val="00D026EF"/>
    <w:rsid w:val="00D027BD"/>
    <w:rsid w:val="00D027DE"/>
    <w:rsid w:val="00D027F6"/>
    <w:rsid w:val="00D0292C"/>
    <w:rsid w:val="00D02C19"/>
    <w:rsid w:val="00D02D21"/>
    <w:rsid w:val="00D02D45"/>
    <w:rsid w:val="00D0332E"/>
    <w:rsid w:val="00D03527"/>
    <w:rsid w:val="00D03619"/>
    <w:rsid w:val="00D03892"/>
    <w:rsid w:val="00D03898"/>
    <w:rsid w:val="00D03919"/>
    <w:rsid w:val="00D039EA"/>
    <w:rsid w:val="00D039F8"/>
    <w:rsid w:val="00D03AF9"/>
    <w:rsid w:val="00D03B1C"/>
    <w:rsid w:val="00D03BB4"/>
    <w:rsid w:val="00D03BBA"/>
    <w:rsid w:val="00D03F1F"/>
    <w:rsid w:val="00D04030"/>
    <w:rsid w:val="00D04802"/>
    <w:rsid w:val="00D04D05"/>
    <w:rsid w:val="00D04E34"/>
    <w:rsid w:val="00D04F04"/>
    <w:rsid w:val="00D04F77"/>
    <w:rsid w:val="00D05369"/>
    <w:rsid w:val="00D055C6"/>
    <w:rsid w:val="00D0592D"/>
    <w:rsid w:val="00D0595E"/>
    <w:rsid w:val="00D059C6"/>
    <w:rsid w:val="00D05A56"/>
    <w:rsid w:val="00D05FAF"/>
    <w:rsid w:val="00D06140"/>
    <w:rsid w:val="00D06311"/>
    <w:rsid w:val="00D0638E"/>
    <w:rsid w:val="00D06473"/>
    <w:rsid w:val="00D0652C"/>
    <w:rsid w:val="00D066A3"/>
    <w:rsid w:val="00D06B0E"/>
    <w:rsid w:val="00D06B22"/>
    <w:rsid w:val="00D06BC7"/>
    <w:rsid w:val="00D06EB3"/>
    <w:rsid w:val="00D06F7B"/>
    <w:rsid w:val="00D0705E"/>
    <w:rsid w:val="00D070E0"/>
    <w:rsid w:val="00D071F3"/>
    <w:rsid w:val="00D07369"/>
    <w:rsid w:val="00D07AA5"/>
    <w:rsid w:val="00D10053"/>
    <w:rsid w:val="00D1023A"/>
    <w:rsid w:val="00D10339"/>
    <w:rsid w:val="00D1073E"/>
    <w:rsid w:val="00D10814"/>
    <w:rsid w:val="00D10973"/>
    <w:rsid w:val="00D10A7A"/>
    <w:rsid w:val="00D10E2F"/>
    <w:rsid w:val="00D10E3C"/>
    <w:rsid w:val="00D10FCF"/>
    <w:rsid w:val="00D11550"/>
    <w:rsid w:val="00D115EE"/>
    <w:rsid w:val="00D116A6"/>
    <w:rsid w:val="00D117BB"/>
    <w:rsid w:val="00D11A3D"/>
    <w:rsid w:val="00D11D08"/>
    <w:rsid w:val="00D11F23"/>
    <w:rsid w:val="00D12065"/>
    <w:rsid w:val="00D12164"/>
    <w:rsid w:val="00D12519"/>
    <w:rsid w:val="00D12F23"/>
    <w:rsid w:val="00D131AF"/>
    <w:rsid w:val="00D1387A"/>
    <w:rsid w:val="00D138FA"/>
    <w:rsid w:val="00D13AEE"/>
    <w:rsid w:val="00D1434C"/>
    <w:rsid w:val="00D14528"/>
    <w:rsid w:val="00D149D8"/>
    <w:rsid w:val="00D14CEC"/>
    <w:rsid w:val="00D14EA9"/>
    <w:rsid w:val="00D14EAD"/>
    <w:rsid w:val="00D15109"/>
    <w:rsid w:val="00D1565C"/>
    <w:rsid w:val="00D157F2"/>
    <w:rsid w:val="00D1596D"/>
    <w:rsid w:val="00D15CBE"/>
    <w:rsid w:val="00D15E87"/>
    <w:rsid w:val="00D15EBF"/>
    <w:rsid w:val="00D163AE"/>
    <w:rsid w:val="00D163E4"/>
    <w:rsid w:val="00D16467"/>
    <w:rsid w:val="00D165AF"/>
    <w:rsid w:val="00D167B3"/>
    <w:rsid w:val="00D16848"/>
    <w:rsid w:val="00D16B07"/>
    <w:rsid w:val="00D16B38"/>
    <w:rsid w:val="00D16D64"/>
    <w:rsid w:val="00D16D86"/>
    <w:rsid w:val="00D16E7E"/>
    <w:rsid w:val="00D17108"/>
    <w:rsid w:val="00D17466"/>
    <w:rsid w:val="00D17559"/>
    <w:rsid w:val="00D177F0"/>
    <w:rsid w:val="00D17AAA"/>
    <w:rsid w:val="00D17C28"/>
    <w:rsid w:val="00D20122"/>
    <w:rsid w:val="00D201BF"/>
    <w:rsid w:val="00D2046D"/>
    <w:rsid w:val="00D2057D"/>
    <w:rsid w:val="00D20801"/>
    <w:rsid w:val="00D209F0"/>
    <w:rsid w:val="00D20D6F"/>
    <w:rsid w:val="00D20FAA"/>
    <w:rsid w:val="00D20FD5"/>
    <w:rsid w:val="00D2124E"/>
    <w:rsid w:val="00D212B1"/>
    <w:rsid w:val="00D213B5"/>
    <w:rsid w:val="00D215A9"/>
    <w:rsid w:val="00D215C0"/>
    <w:rsid w:val="00D2172B"/>
    <w:rsid w:val="00D218D4"/>
    <w:rsid w:val="00D218EC"/>
    <w:rsid w:val="00D21A7E"/>
    <w:rsid w:val="00D21AEA"/>
    <w:rsid w:val="00D21E93"/>
    <w:rsid w:val="00D21ECC"/>
    <w:rsid w:val="00D22150"/>
    <w:rsid w:val="00D221ED"/>
    <w:rsid w:val="00D2222D"/>
    <w:rsid w:val="00D2226D"/>
    <w:rsid w:val="00D222D9"/>
    <w:rsid w:val="00D223CA"/>
    <w:rsid w:val="00D22430"/>
    <w:rsid w:val="00D22575"/>
    <w:rsid w:val="00D22871"/>
    <w:rsid w:val="00D22A8C"/>
    <w:rsid w:val="00D22BED"/>
    <w:rsid w:val="00D22DAE"/>
    <w:rsid w:val="00D22E75"/>
    <w:rsid w:val="00D22F0B"/>
    <w:rsid w:val="00D22F1A"/>
    <w:rsid w:val="00D23057"/>
    <w:rsid w:val="00D231DA"/>
    <w:rsid w:val="00D232C5"/>
    <w:rsid w:val="00D232EF"/>
    <w:rsid w:val="00D2330F"/>
    <w:rsid w:val="00D23975"/>
    <w:rsid w:val="00D23B9C"/>
    <w:rsid w:val="00D23D09"/>
    <w:rsid w:val="00D2460A"/>
    <w:rsid w:val="00D24BE2"/>
    <w:rsid w:val="00D25113"/>
    <w:rsid w:val="00D25232"/>
    <w:rsid w:val="00D253D6"/>
    <w:rsid w:val="00D25810"/>
    <w:rsid w:val="00D25B0F"/>
    <w:rsid w:val="00D25CC9"/>
    <w:rsid w:val="00D25D52"/>
    <w:rsid w:val="00D25DCB"/>
    <w:rsid w:val="00D25E0C"/>
    <w:rsid w:val="00D262A6"/>
    <w:rsid w:val="00D264DA"/>
    <w:rsid w:val="00D266C8"/>
    <w:rsid w:val="00D26911"/>
    <w:rsid w:val="00D26974"/>
    <w:rsid w:val="00D26999"/>
    <w:rsid w:val="00D269B5"/>
    <w:rsid w:val="00D269B6"/>
    <w:rsid w:val="00D26B38"/>
    <w:rsid w:val="00D26CF7"/>
    <w:rsid w:val="00D2700D"/>
    <w:rsid w:val="00D27090"/>
    <w:rsid w:val="00D2729F"/>
    <w:rsid w:val="00D273A2"/>
    <w:rsid w:val="00D27773"/>
    <w:rsid w:val="00D27937"/>
    <w:rsid w:val="00D27CEA"/>
    <w:rsid w:val="00D27DD7"/>
    <w:rsid w:val="00D27EA3"/>
    <w:rsid w:val="00D302AD"/>
    <w:rsid w:val="00D303CE"/>
    <w:rsid w:val="00D30425"/>
    <w:rsid w:val="00D304EF"/>
    <w:rsid w:val="00D30558"/>
    <w:rsid w:val="00D30607"/>
    <w:rsid w:val="00D30C20"/>
    <w:rsid w:val="00D30D90"/>
    <w:rsid w:val="00D30DC8"/>
    <w:rsid w:val="00D311BE"/>
    <w:rsid w:val="00D31322"/>
    <w:rsid w:val="00D3156F"/>
    <w:rsid w:val="00D318E5"/>
    <w:rsid w:val="00D31A0B"/>
    <w:rsid w:val="00D31A3E"/>
    <w:rsid w:val="00D31B38"/>
    <w:rsid w:val="00D31BF0"/>
    <w:rsid w:val="00D31D11"/>
    <w:rsid w:val="00D31EAF"/>
    <w:rsid w:val="00D32384"/>
    <w:rsid w:val="00D32459"/>
    <w:rsid w:val="00D32A1C"/>
    <w:rsid w:val="00D32BBB"/>
    <w:rsid w:val="00D32E09"/>
    <w:rsid w:val="00D32FDA"/>
    <w:rsid w:val="00D3370A"/>
    <w:rsid w:val="00D33AD7"/>
    <w:rsid w:val="00D33B3B"/>
    <w:rsid w:val="00D33E49"/>
    <w:rsid w:val="00D33FED"/>
    <w:rsid w:val="00D340F3"/>
    <w:rsid w:val="00D34313"/>
    <w:rsid w:val="00D34359"/>
    <w:rsid w:val="00D344FC"/>
    <w:rsid w:val="00D34685"/>
    <w:rsid w:val="00D347FB"/>
    <w:rsid w:val="00D34A60"/>
    <w:rsid w:val="00D34C42"/>
    <w:rsid w:val="00D34CA0"/>
    <w:rsid w:val="00D34CA1"/>
    <w:rsid w:val="00D34F21"/>
    <w:rsid w:val="00D351E0"/>
    <w:rsid w:val="00D352D9"/>
    <w:rsid w:val="00D3548A"/>
    <w:rsid w:val="00D358D0"/>
    <w:rsid w:val="00D35D7F"/>
    <w:rsid w:val="00D3601D"/>
    <w:rsid w:val="00D36038"/>
    <w:rsid w:val="00D366B9"/>
    <w:rsid w:val="00D36B1E"/>
    <w:rsid w:val="00D36BEB"/>
    <w:rsid w:val="00D3743E"/>
    <w:rsid w:val="00D3768E"/>
    <w:rsid w:val="00D3798D"/>
    <w:rsid w:val="00D379AF"/>
    <w:rsid w:val="00D37C9F"/>
    <w:rsid w:val="00D400CE"/>
    <w:rsid w:val="00D40146"/>
    <w:rsid w:val="00D403A8"/>
    <w:rsid w:val="00D40724"/>
    <w:rsid w:val="00D40AB5"/>
    <w:rsid w:val="00D40D04"/>
    <w:rsid w:val="00D40E4D"/>
    <w:rsid w:val="00D40FB2"/>
    <w:rsid w:val="00D413FB"/>
    <w:rsid w:val="00D4142E"/>
    <w:rsid w:val="00D41741"/>
    <w:rsid w:val="00D41964"/>
    <w:rsid w:val="00D41C48"/>
    <w:rsid w:val="00D41D5C"/>
    <w:rsid w:val="00D41EA4"/>
    <w:rsid w:val="00D41FD8"/>
    <w:rsid w:val="00D421CC"/>
    <w:rsid w:val="00D42216"/>
    <w:rsid w:val="00D4236E"/>
    <w:rsid w:val="00D4240D"/>
    <w:rsid w:val="00D42EAB"/>
    <w:rsid w:val="00D42FB8"/>
    <w:rsid w:val="00D43509"/>
    <w:rsid w:val="00D43663"/>
    <w:rsid w:val="00D437ED"/>
    <w:rsid w:val="00D43845"/>
    <w:rsid w:val="00D4389B"/>
    <w:rsid w:val="00D43AAA"/>
    <w:rsid w:val="00D43C47"/>
    <w:rsid w:val="00D43C9C"/>
    <w:rsid w:val="00D43D10"/>
    <w:rsid w:val="00D43E39"/>
    <w:rsid w:val="00D43EDA"/>
    <w:rsid w:val="00D43F30"/>
    <w:rsid w:val="00D43F48"/>
    <w:rsid w:val="00D44178"/>
    <w:rsid w:val="00D446F7"/>
    <w:rsid w:val="00D449E0"/>
    <w:rsid w:val="00D44A04"/>
    <w:rsid w:val="00D44BA6"/>
    <w:rsid w:val="00D44D12"/>
    <w:rsid w:val="00D45243"/>
    <w:rsid w:val="00D45309"/>
    <w:rsid w:val="00D45437"/>
    <w:rsid w:val="00D45493"/>
    <w:rsid w:val="00D45CF5"/>
    <w:rsid w:val="00D46875"/>
    <w:rsid w:val="00D4693A"/>
    <w:rsid w:val="00D46957"/>
    <w:rsid w:val="00D46A7D"/>
    <w:rsid w:val="00D46A91"/>
    <w:rsid w:val="00D46AF0"/>
    <w:rsid w:val="00D47113"/>
    <w:rsid w:val="00D47114"/>
    <w:rsid w:val="00D47132"/>
    <w:rsid w:val="00D47363"/>
    <w:rsid w:val="00D47512"/>
    <w:rsid w:val="00D4752F"/>
    <w:rsid w:val="00D47530"/>
    <w:rsid w:val="00D47716"/>
    <w:rsid w:val="00D477C5"/>
    <w:rsid w:val="00D47B30"/>
    <w:rsid w:val="00D47CD2"/>
    <w:rsid w:val="00D50113"/>
    <w:rsid w:val="00D50479"/>
    <w:rsid w:val="00D5056F"/>
    <w:rsid w:val="00D50802"/>
    <w:rsid w:val="00D50DFA"/>
    <w:rsid w:val="00D51200"/>
    <w:rsid w:val="00D5133B"/>
    <w:rsid w:val="00D51465"/>
    <w:rsid w:val="00D51663"/>
    <w:rsid w:val="00D51960"/>
    <w:rsid w:val="00D51E02"/>
    <w:rsid w:val="00D51F97"/>
    <w:rsid w:val="00D51FA2"/>
    <w:rsid w:val="00D520C8"/>
    <w:rsid w:val="00D523FA"/>
    <w:rsid w:val="00D5273F"/>
    <w:rsid w:val="00D5287F"/>
    <w:rsid w:val="00D5288A"/>
    <w:rsid w:val="00D529BF"/>
    <w:rsid w:val="00D52E24"/>
    <w:rsid w:val="00D52FEC"/>
    <w:rsid w:val="00D53146"/>
    <w:rsid w:val="00D5324E"/>
    <w:rsid w:val="00D53647"/>
    <w:rsid w:val="00D536EB"/>
    <w:rsid w:val="00D53716"/>
    <w:rsid w:val="00D539E7"/>
    <w:rsid w:val="00D53D9F"/>
    <w:rsid w:val="00D54005"/>
    <w:rsid w:val="00D54DBC"/>
    <w:rsid w:val="00D551E2"/>
    <w:rsid w:val="00D55483"/>
    <w:rsid w:val="00D55656"/>
    <w:rsid w:val="00D56652"/>
    <w:rsid w:val="00D568E9"/>
    <w:rsid w:val="00D56A5A"/>
    <w:rsid w:val="00D56BF9"/>
    <w:rsid w:val="00D56CEA"/>
    <w:rsid w:val="00D56D72"/>
    <w:rsid w:val="00D57109"/>
    <w:rsid w:val="00D573F3"/>
    <w:rsid w:val="00D5759F"/>
    <w:rsid w:val="00D57624"/>
    <w:rsid w:val="00D5768A"/>
    <w:rsid w:val="00D57862"/>
    <w:rsid w:val="00D57932"/>
    <w:rsid w:val="00D579AF"/>
    <w:rsid w:val="00D57A53"/>
    <w:rsid w:val="00D57BC0"/>
    <w:rsid w:val="00D57C4D"/>
    <w:rsid w:val="00D57F39"/>
    <w:rsid w:val="00D57FB9"/>
    <w:rsid w:val="00D57FCE"/>
    <w:rsid w:val="00D6019B"/>
    <w:rsid w:val="00D60438"/>
    <w:rsid w:val="00D605DE"/>
    <w:rsid w:val="00D609AB"/>
    <w:rsid w:val="00D60C6D"/>
    <w:rsid w:val="00D61783"/>
    <w:rsid w:val="00D61ACD"/>
    <w:rsid w:val="00D61BA4"/>
    <w:rsid w:val="00D62079"/>
    <w:rsid w:val="00D6242D"/>
    <w:rsid w:val="00D62524"/>
    <w:rsid w:val="00D6269D"/>
    <w:rsid w:val="00D626A8"/>
    <w:rsid w:val="00D62A44"/>
    <w:rsid w:val="00D62AB8"/>
    <w:rsid w:val="00D62B4E"/>
    <w:rsid w:val="00D62C15"/>
    <w:rsid w:val="00D62E11"/>
    <w:rsid w:val="00D631F7"/>
    <w:rsid w:val="00D63389"/>
    <w:rsid w:val="00D634E1"/>
    <w:rsid w:val="00D63C59"/>
    <w:rsid w:val="00D63F81"/>
    <w:rsid w:val="00D643B4"/>
    <w:rsid w:val="00D6443D"/>
    <w:rsid w:val="00D64764"/>
    <w:rsid w:val="00D648AA"/>
    <w:rsid w:val="00D64956"/>
    <w:rsid w:val="00D649B0"/>
    <w:rsid w:val="00D64ABF"/>
    <w:rsid w:val="00D65379"/>
    <w:rsid w:val="00D654F5"/>
    <w:rsid w:val="00D657DC"/>
    <w:rsid w:val="00D65848"/>
    <w:rsid w:val="00D659B3"/>
    <w:rsid w:val="00D65BC9"/>
    <w:rsid w:val="00D661DD"/>
    <w:rsid w:val="00D6651C"/>
    <w:rsid w:val="00D668C9"/>
    <w:rsid w:val="00D6691A"/>
    <w:rsid w:val="00D66B58"/>
    <w:rsid w:val="00D66B83"/>
    <w:rsid w:val="00D66E6B"/>
    <w:rsid w:val="00D671A0"/>
    <w:rsid w:val="00D675F3"/>
    <w:rsid w:val="00D67635"/>
    <w:rsid w:val="00D67792"/>
    <w:rsid w:val="00D67960"/>
    <w:rsid w:val="00D67A44"/>
    <w:rsid w:val="00D67E64"/>
    <w:rsid w:val="00D70198"/>
    <w:rsid w:val="00D706DF"/>
    <w:rsid w:val="00D70792"/>
    <w:rsid w:val="00D709A9"/>
    <w:rsid w:val="00D70A22"/>
    <w:rsid w:val="00D70A7D"/>
    <w:rsid w:val="00D70A80"/>
    <w:rsid w:val="00D70BB4"/>
    <w:rsid w:val="00D70CDD"/>
    <w:rsid w:val="00D719DA"/>
    <w:rsid w:val="00D71AEA"/>
    <w:rsid w:val="00D71BFF"/>
    <w:rsid w:val="00D71F15"/>
    <w:rsid w:val="00D71FD7"/>
    <w:rsid w:val="00D72008"/>
    <w:rsid w:val="00D72193"/>
    <w:rsid w:val="00D7223C"/>
    <w:rsid w:val="00D72273"/>
    <w:rsid w:val="00D722CE"/>
    <w:rsid w:val="00D724DD"/>
    <w:rsid w:val="00D72785"/>
    <w:rsid w:val="00D728C9"/>
    <w:rsid w:val="00D72B85"/>
    <w:rsid w:val="00D72D2C"/>
    <w:rsid w:val="00D7312B"/>
    <w:rsid w:val="00D7325E"/>
    <w:rsid w:val="00D733A6"/>
    <w:rsid w:val="00D7352A"/>
    <w:rsid w:val="00D736E2"/>
    <w:rsid w:val="00D73ABF"/>
    <w:rsid w:val="00D73DB8"/>
    <w:rsid w:val="00D73DDA"/>
    <w:rsid w:val="00D73E91"/>
    <w:rsid w:val="00D740C4"/>
    <w:rsid w:val="00D743C4"/>
    <w:rsid w:val="00D745C2"/>
    <w:rsid w:val="00D746F2"/>
    <w:rsid w:val="00D74B86"/>
    <w:rsid w:val="00D75104"/>
    <w:rsid w:val="00D757FC"/>
    <w:rsid w:val="00D75952"/>
    <w:rsid w:val="00D75B87"/>
    <w:rsid w:val="00D75B9E"/>
    <w:rsid w:val="00D75C63"/>
    <w:rsid w:val="00D75DCF"/>
    <w:rsid w:val="00D7605B"/>
    <w:rsid w:val="00D764D5"/>
    <w:rsid w:val="00D76539"/>
    <w:rsid w:val="00D76650"/>
    <w:rsid w:val="00D76BBE"/>
    <w:rsid w:val="00D76D4D"/>
    <w:rsid w:val="00D76DBC"/>
    <w:rsid w:val="00D76DFA"/>
    <w:rsid w:val="00D76E65"/>
    <w:rsid w:val="00D77252"/>
    <w:rsid w:val="00D77384"/>
    <w:rsid w:val="00D7739F"/>
    <w:rsid w:val="00D774E3"/>
    <w:rsid w:val="00D776D5"/>
    <w:rsid w:val="00D77C23"/>
    <w:rsid w:val="00D77C81"/>
    <w:rsid w:val="00D77DCB"/>
    <w:rsid w:val="00D800E0"/>
    <w:rsid w:val="00D802B5"/>
    <w:rsid w:val="00D80D71"/>
    <w:rsid w:val="00D80FCD"/>
    <w:rsid w:val="00D81426"/>
    <w:rsid w:val="00D81448"/>
    <w:rsid w:val="00D81A00"/>
    <w:rsid w:val="00D82099"/>
    <w:rsid w:val="00D8219A"/>
    <w:rsid w:val="00D8285A"/>
    <w:rsid w:val="00D82A1A"/>
    <w:rsid w:val="00D82A4F"/>
    <w:rsid w:val="00D82B37"/>
    <w:rsid w:val="00D82C95"/>
    <w:rsid w:val="00D82E90"/>
    <w:rsid w:val="00D831F5"/>
    <w:rsid w:val="00D8324D"/>
    <w:rsid w:val="00D8381A"/>
    <w:rsid w:val="00D83838"/>
    <w:rsid w:val="00D83936"/>
    <w:rsid w:val="00D83943"/>
    <w:rsid w:val="00D839A9"/>
    <w:rsid w:val="00D83B54"/>
    <w:rsid w:val="00D83DE0"/>
    <w:rsid w:val="00D840C2"/>
    <w:rsid w:val="00D84187"/>
    <w:rsid w:val="00D842E0"/>
    <w:rsid w:val="00D849F6"/>
    <w:rsid w:val="00D84F0D"/>
    <w:rsid w:val="00D84F46"/>
    <w:rsid w:val="00D84F59"/>
    <w:rsid w:val="00D85126"/>
    <w:rsid w:val="00D855C8"/>
    <w:rsid w:val="00D857D2"/>
    <w:rsid w:val="00D85944"/>
    <w:rsid w:val="00D859B2"/>
    <w:rsid w:val="00D85A12"/>
    <w:rsid w:val="00D85A3F"/>
    <w:rsid w:val="00D85AB4"/>
    <w:rsid w:val="00D85C39"/>
    <w:rsid w:val="00D85ECE"/>
    <w:rsid w:val="00D85F5A"/>
    <w:rsid w:val="00D8608A"/>
    <w:rsid w:val="00D86182"/>
    <w:rsid w:val="00D86364"/>
    <w:rsid w:val="00D8670A"/>
    <w:rsid w:val="00D86ABB"/>
    <w:rsid w:val="00D86EA1"/>
    <w:rsid w:val="00D86F94"/>
    <w:rsid w:val="00D86F9B"/>
    <w:rsid w:val="00D871A9"/>
    <w:rsid w:val="00D871DF"/>
    <w:rsid w:val="00D87230"/>
    <w:rsid w:val="00D87245"/>
    <w:rsid w:val="00D872A1"/>
    <w:rsid w:val="00D87451"/>
    <w:rsid w:val="00D87525"/>
    <w:rsid w:val="00D8768B"/>
    <w:rsid w:val="00D87A7C"/>
    <w:rsid w:val="00D87DF5"/>
    <w:rsid w:val="00D87E4D"/>
    <w:rsid w:val="00D87EB1"/>
    <w:rsid w:val="00D901B7"/>
    <w:rsid w:val="00D9035C"/>
    <w:rsid w:val="00D90403"/>
    <w:rsid w:val="00D90472"/>
    <w:rsid w:val="00D90667"/>
    <w:rsid w:val="00D90784"/>
    <w:rsid w:val="00D9084A"/>
    <w:rsid w:val="00D908DC"/>
    <w:rsid w:val="00D90C54"/>
    <w:rsid w:val="00D90E01"/>
    <w:rsid w:val="00D90FCE"/>
    <w:rsid w:val="00D91730"/>
    <w:rsid w:val="00D9183C"/>
    <w:rsid w:val="00D92179"/>
    <w:rsid w:val="00D92594"/>
    <w:rsid w:val="00D92637"/>
    <w:rsid w:val="00D92FAA"/>
    <w:rsid w:val="00D9303D"/>
    <w:rsid w:val="00D9305A"/>
    <w:rsid w:val="00D931E4"/>
    <w:rsid w:val="00D934D3"/>
    <w:rsid w:val="00D935DD"/>
    <w:rsid w:val="00D9366F"/>
    <w:rsid w:val="00D93877"/>
    <w:rsid w:val="00D93E79"/>
    <w:rsid w:val="00D941B1"/>
    <w:rsid w:val="00D94594"/>
    <w:rsid w:val="00D947FE"/>
    <w:rsid w:val="00D94837"/>
    <w:rsid w:val="00D95118"/>
    <w:rsid w:val="00D952A8"/>
    <w:rsid w:val="00D952F1"/>
    <w:rsid w:val="00D95359"/>
    <w:rsid w:val="00D953C1"/>
    <w:rsid w:val="00D954CF"/>
    <w:rsid w:val="00D9561D"/>
    <w:rsid w:val="00D957B9"/>
    <w:rsid w:val="00D95A53"/>
    <w:rsid w:val="00D9624A"/>
    <w:rsid w:val="00D96374"/>
    <w:rsid w:val="00D96538"/>
    <w:rsid w:val="00D96571"/>
    <w:rsid w:val="00D9665C"/>
    <w:rsid w:val="00D96709"/>
    <w:rsid w:val="00D968AF"/>
    <w:rsid w:val="00D96A7C"/>
    <w:rsid w:val="00D96A95"/>
    <w:rsid w:val="00D96B7B"/>
    <w:rsid w:val="00D96CCA"/>
    <w:rsid w:val="00D96CF1"/>
    <w:rsid w:val="00D9722C"/>
    <w:rsid w:val="00D9763A"/>
    <w:rsid w:val="00D978A1"/>
    <w:rsid w:val="00D978A3"/>
    <w:rsid w:val="00D97A8B"/>
    <w:rsid w:val="00D97ACD"/>
    <w:rsid w:val="00D97AED"/>
    <w:rsid w:val="00D97DFF"/>
    <w:rsid w:val="00D97EC6"/>
    <w:rsid w:val="00DA0125"/>
    <w:rsid w:val="00DA08CD"/>
    <w:rsid w:val="00DA0948"/>
    <w:rsid w:val="00DA0A57"/>
    <w:rsid w:val="00DA0C0A"/>
    <w:rsid w:val="00DA0DD3"/>
    <w:rsid w:val="00DA0F64"/>
    <w:rsid w:val="00DA0FFE"/>
    <w:rsid w:val="00DA1002"/>
    <w:rsid w:val="00DA1092"/>
    <w:rsid w:val="00DA12C2"/>
    <w:rsid w:val="00DA17A1"/>
    <w:rsid w:val="00DA17B9"/>
    <w:rsid w:val="00DA18BC"/>
    <w:rsid w:val="00DA18E5"/>
    <w:rsid w:val="00DA198F"/>
    <w:rsid w:val="00DA221A"/>
    <w:rsid w:val="00DA2282"/>
    <w:rsid w:val="00DA298B"/>
    <w:rsid w:val="00DA2B1D"/>
    <w:rsid w:val="00DA2C2E"/>
    <w:rsid w:val="00DA2D9E"/>
    <w:rsid w:val="00DA3285"/>
    <w:rsid w:val="00DA32D2"/>
    <w:rsid w:val="00DA3B47"/>
    <w:rsid w:val="00DA3DAA"/>
    <w:rsid w:val="00DA3DFC"/>
    <w:rsid w:val="00DA482B"/>
    <w:rsid w:val="00DA49DF"/>
    <w:rsid w:val="00DA501C"/>
    <w:rsid w:val="00DA5168"/>
    <w:rsid w:val="00DA5767"/>
    <w:rsid w:val="00DA5C56"/>
    <w:rsid w:val="00DA63A0"/>
    <w:rsid w:val="00DA63F9"/>
    <w:rsid w:val="00DA6454"/>
    <w:rsid w:val="00DA6513"/>
    <w:rsid w:val="00DA6530"/>
    <w:rsid w:val="00DA657E"/>
    <w:rsid w:val="00DA6665"/>
    <w:rsid w:val="00DA69B8"/>
    <w:rsid w:val="00DA6C16"/>
    <w:rsid w:val="00DA6D1C"/>
    <w:rsid w:val="00DA6ED2"/>
    <w:rsid w:val="00DA7149"/>
    <w:rsid w:val="00DA7161"/>
    <w:rsid w:val="00DA7277"/>
    <w:rsid w:val="00DA7316"/>
    <w:rsid w:val="00DA7731"/>
    <w:rsid w:val="00DA79F4"/>
    <w:rsid w:val="00DA7BB9"/>
    <w:rsid w:val="00DA7BCB"/>
    <w:rsid w:val="00DA7D9A"/>
    <w:rsid w:val="00DA7E3F"/>
    <w:rsid w:val="00DB03C4"/>
    <w:rsid w:val="00DB044D"/>
    <w:rsid w:val="00DB046A"/>
    <w:rsid w:val="00DB0553"/>
    <w:rsid w:val="00DB0623"/>
    <w:rsid w:val="00DB0738"/>
    <w:rsid w:val="00DB08F3"/>
    <w:rsid w:val="00DB098A"/>
    <w:rsid w:val="00DB0A96"/>
    <w:rsid w:val="00DB10CD"/>
    <w:rsid w:val="00DB110A"/>
    <w:rsid w:val="00DB138F"/>
    <w:rsid w:val="00DB14FA"/>
    <w:rsid w:val="00DB1621"/>
    <w:rsid w:val="00DB1B54"/>
    <w:rsid w:val="00DB1EBD"/>
    <w:rsid w:val="00DB1F5C"/>
    <w:rsid w:val="00DB2288"/>
    <w:rsid w:val="00DB23F1"/>
    <w:rsid w:val="00DB248B"/>
    <w:rsid w:val="00DB24C3"/>
    <w:rsid w:val="00DB2EB2"/>
    <w:rsid w:val="00DB3080"/>
    <w:rsid w:val="00DB3201"/>
    <w:rsid w:val="00DB379E"/>
    <w:rsid w:val="00DB3889"/>
    <w:rsid w:val="00DB3964"/>
    <w:rsid w:val="00DB3C46"/>
    <w:rsid w:val="00DB3F23"/>
    <w:rsid w:val="00DB4213"/>
    <w:rsid w:val="00DB42C4"/>
    <w:rsid w:val="00DB43DD"/>
    <w:rsid w:val="00DB45E9"/>
    <w:rsid w:val="00DB47FB"/>
    <w:rsid w:val="00DB4C05"/>
    <w:rsid w:val="00DB4E83"/>
    <w:rsid w:val="00DB4E8B"/>
    <w:rsid w:val="00DB4F93"/>
    <w:rsid w:val="00DB4FF5"/>
    <w:rsid w:val="00DB5544"/>
    <w:rsid w:val="00DB5A5F"/>
    <w:rsid w:val="00DB620D"/>
    <w:rsid w:val="00DB633B"/>
    <w:rsid w:val="00DB6344"/>
    <w:rsid w:val="00DB63CC"/>
    <w:rsid w:val="00DB6465"/>
    <w:rsid w:val="00DB68BB"/>
    <w:rsid w:val="00DB6E53"/>
    <w:rsid w:val="00DB6E78"/>
    <w:rsid w:val="00DB6EC3"/>
    <w:rsid w:val="00DB6F05"/>
    <w:rsid w:val="00DB702F"/>
    <w:rsid w:val="00DB7718"/>
    <w:rsid w:val="00DB7D25"/>
    <w:rsid w:val="00DB7EB5"/>
    <w:rsid w:val="00DB7EEA"/>
    <w:rsid w:val="00DB7F71"/>
    <w:rsid w:val="00DC01A7"/>
    <w:rsid w:val="00DC01CB"/>
    <w:rsid w:val="00DC04C7"/>
    <w:rsid w:val="00DC0B62"/>
    <w:rsid w:val="00DC118F"/>
    <w:rsid w:val="00DC11AD"/>
    <w:rsid w:val="00DC1365"/>
    <w:rsid w:val="00DC16EA"/>
    <w:rsid w:val="00DC1764"/>
    <w:rsid w:val="00DC1906"/>
    <w:rsid w:val="00DC1A24"/>
    <w:rsid w:val="00DC1D6D"/>
    <w:rsid w:val="00DC1DF9"/>
    <w:rsid w:val="00DC1E3A"/>
    <w:rsid w:val="00DC1F1D"/>
    <w:rsid w:val="00DC1F66"/>
    <w:rsid w:val="00DC1FEC"/>
    <w:rsid w:val="00DC210D"/>
    <w:rsid w:val="00DC24F7"/>
    <w:rsid w:val="00DC25ED"/>
    <w:rsid w:val="00DC27F2"/>
    <w:rsid w:val="00DC2816"/>
    <w:rsid w:val="00DC288B"/>
    <w:rsid w:val="00DC2BA4"/>
    <w:rsid w:val="00DC2DFF"/>
    <w:rsid w:val="00DC3045"/>
    <w:rsid w:val="00DC3199"/>
    <w:rsid w:val="00DC3325"/>
    <w:rsid w:val="00DC3365"/>
    <w:rsid w:val="00DC349C"/>
    <w:rsid w:val="00DC360C"/>
    <w:rsid w:val="00DC3991"/>
    <w:rsid w:val="00DC3B93"/>
    <w:rsid w:val="00DC3CEE"/>
    <w:rsid w:val="00DC3EA0"/>
    <w:rsid w:val="00DC4229"/>
    <w:rsid w:val="00DC423E"/>
    <w:rsid w:val="00DC43F5"/>
    <w:rsid w:val="00DC47D0"/>
    <w:rsid w:val="00DC48A4"/>
    <w:rsid w:val="00DC4B47"/>
    <w:rsid w:val="00DC4CA5"/>
    <w:rsid w:val="00DC4E18"/>
    <w:rsid w:val="00DC4E39"/>
    <w:rsid w:val="00DC4EA3"/>
    <w:rsid w:val="00DC52D9"/>
    <w:rsid w:val="00DC539D"/>
    <w:rsid w:val="00DC5D22"/>
    <w:rsid w:val="00DC65D2"/>
    <w:rsid w:val="00DC6706"/>
    <w:rsid w:val="00DC68FA"/>
    <w:rsid w:val="00DC6964"/>
    <w:rsid w:val="00DC6A01"/>
    <w:rsid w:val="00DC70E2"/>
    <w:rsid w:val="00DC70EA"/>
    <w:rsid w:val="00DC71A4"/>
    <w:rsid w:val="00DC71CC"/>
    <w:rsid w:val="00DC7280"/>
    <w:rsid w:val="00DC75D2"/>
    <w:rsid w:val="00DC77AC"/>
    <w:rsid w:val="00DC7986"/>
    <w:rsid w:val="00DC7B17"/>
    <w:rsid w:val="00DC7D51"/>
    <w:rsid w:val="00DD021E"/>
    <w:rsid w:val="00DD07E8"/>
    <w:rsid w:val="00DD08A2"/>
    <w:rsid w:val="00DD0BA9"/>
    <w:rsid w:val="00DD0C0B"/>
    <w:rsid w:val="00DD0E19"/>
    <w:rsid w:val="00DD0E41"/>
    <w:rsid w:val="00DD1519"/>
    <w:rsid w:val="00DD167E"/>
    <w:rsid w:val="00DD17E6"/>
    <w:rsid w:val="00DD203A"/>
    <w:rsid w:val="00DD203E"/>
    <w:rsid w:val="00DD21A3"/>
    <w:rsid w:val="00DD22C5"/>
    <w:rsid w:val="00DD2A4C"/>
    <w:rsid w:val="00DD2BF1"/>
    <w:rsid w:val="00DD2CC2"/>
    <w:rsid w:val="00DD2E6C"/>
    <w:rsid w:val="00DD2F7F"/>
    <w:rsid w:val="00DD30F8"/>
    <w:rsid w:val="00DD3757"/>
    <w:rsid w:val="00DD39C7"/>
    <w:rsid w:val="00DD3B5B"/>
    <w:rsid w:val="00DD43A6"/>
    <w:rsid w:val="00DD43B7"/>
    <w:rsid w:val="00DD44A4"/>
    <w:rsid w:val="00DD4675"/>
    <w:rsid w:val="00DD4733"/>
    <w:rsid w:val="00DD5382"/>
    <w:rsid w:val="00DD5484"/>
    <w:rsid w:val="00DD59C3"/>
    <w:rsid w:val="00DD5A1D"/>
    <w:rsid w:val="00DD5E9C"/>
    <w:rsid w:val="00DD61A0"/>
    <w:rsid w:val="00DD63DA"/>
    <w:rsid w:val="00DD6626"/>
    <w:rsid w:val="00DD664E"/>
    <w:rsid w:val="00DD67F0"/>
    <w:rsid w:val="00DD68FD"/>
    <w:rsid w:val="00DD6A54"/>
    <w:rsid w:val="00DD6AAA"/>
    <w:rsid w:val="00DD6B12"/>
    <w:rsid w:val="00DD6B27"/>
    <w:rsid w:val="00DD6BFB"/>
    <w:rsid w:val="00DD6C98"/>
    <w:rsid w:val="00DD70E6"/>
    <w:rsid w:val="00DD71C2"/>
    <w:rsid w:val="00DD748A"/>
    <w:rsid w:val="00DD7680"/>
    <w:rsid w:val="00DD77DF"/>
    <w:rsid w:val="00DD78BF"/>
    <w:rsid w:val="00DD795A"/>
    <w:rsid w:val="00DD798F"/>
    <w:rsid w:val="00DD7A44"/>
    <w:rsid w:val="00DD7BF6"/>
    <w:rsid w:val="00DE039E"/>
    <w:rsid w:val="00DE06AC"/>
    <w:rsid w:val="00DE0AAF"/>
    <w:rsid w:val="00DE0EEC"/>
    <w:rsid w:val="00DE15D3"/>
    <w:rsid w:val="00DE177A"/>
    <w:rsid w:val="00DE1816"/>
    <w:rsid w:val="00DE196B"/>
    <w:rsid w:val="00DE1A0A"/>
    <w:rsid w:val="00DE1CD8"/>
    <w:rsid w:val="00DE20F0"/>
    <w:rsid w:val="00DE210E"/>
    <w:rsid w:val="00DE21D0"/>
    <w:rsid w:val="00DE2267"/>
    <w:rsid w:val="00DE251D"/>
    <w:rsid w:val="00DE2A5E"/>
    <w:rsid w:val="00DE2CFE"/>
    <w:rsid w:val="00DE2D55"/>
    <w:rsid w:val="00DE2DFA"/>
    <w:rsid w:val="00DE3112"/>
    <w:rsid w:val="00DE31A3"/>
    <w:rsid w:val="00DE3333"/>
    <w:rsid w:val="00DE35CD"/>
    <w:rsid w:val="00DE3951"/>
    <w:rsid w:val="00DE3A07"/>
    <w:rsid w:val="00DE3AAE"/>
    <w:rsid w:val="00DE3B1D"/>
    <w:rsid w:val="00DE3F4E"/>
    <w:rsid w:val="00DE4304"/>
    <w:rsid w:val="00DE43A8"/>
    <w:rsid w:val="00DE4713"/>
    <w:rsid w:val="00DE49B0"/>
    <w:rsid w:val="00DE4A5A"/>
    <w:rsid w:val="00DE4AB3"/>
    <w:rsid w:val="00DE4BAD"/>
    <w:rsid w:val="00DE4CB0"/>
    <w:rsid w:val="00DE4D4D"/>
    <w:rsid w:val="00DE4F8A"/>
    <w:rsid w:val="00DE50DB"/>
    <w:rsid w:val="00DE52B8"/>
    <w:rsid w:val="00DE54DE"/>
    <w:rsid w:val="00DE55C7"/>
    <w:rsid w:val="00DE5651"/>
    <w:rsid w:val="00DE586C"/>
    <w:rsid w:val="00DE5D29"/>
    <w:rsid w:val="00DE5D50"/>
    <w:rsid w:val="00DE5E48"/>
    <w:rsid w:val="00DE5F0E"/>
    <w:rsid w:val="00DE612A"/>
    <w:rsid w:val="00DE6300"/>
    <w:rsid w:val="00DE644F"/>
    <w:rsid w:val="00DE67D9"/>
    <w:rsid w:val="00DE6843"/>
    <w:rsid w:val="00DE6A3E"/>
    <w:rsid w:val="00DE6B2D"/>
    <w:rsid w:val="00DE6CD9"/>
    <w:rsid w:val="00DE6DCC"/>
    <w:rsid w:val="00DE7202"/>
    <w:rsid w:val="00DE723E"/>
    <w:rsid w:val="00DE7567"/>
    <w:rsid w:val="00DE7625"/>
    <w:rsid w:val="00DE7774"/>
    <w:rsid w:val="00DE78E7"/>
    <w:rsid w:val="00DE7B5D"/>
    <w:rsid w:val="00DE7C5A"/>
    <w:rsid w:val="00DE7CD7"/>
    <w:rsid w:val="00DE7FDA"/>
    <w:rsid w:val="00DF02BF"/>
    <w:rsid w:val="00DF045B"/>
    <w:rsid w:val="00DF0B76"/>
    <w:rsid w:val="00DF0CC8"/>
    <w:rsid w:val="00DF0CF7"/>
    <w:rsid w:val="00DF0EAA"/>
    <w:rsid w:val="00DF0FFA"/>
    <w:rsid w:val="00DF15A8"/>
    <w:rsid w:val="00DF16CD"/>
    <w:rsid w:val="00DF1758"/>
    <w:rsid w:val="00DF1AD0"/>
    <w:rsid w:val="00DF1CBF"/>
    <w:rsid w:val="00DF1CF6"/>
    <w:rsid w:val="00DF1D27"/>
    <w:rsid w:val="00DF1E45"/>
    <w:rsid w:val="00DF23AF"/>
    <w:rsid w:val="00DF23FA"/>
    <w:rsid w:val="00DF2784"/>
    <w:rsid w:val="00DF295C"/>
    <w:rsid w:val="00DF2C6B"/>
    <w:rsid w:val="00DF2FED"/>
    <w:rsid w:val="00DF30F7"/>
    <w:rsid w:val="00DF38BC"/>
    <w:rsid w:val="00DF3B86"/>
    <w:rsid w:val="00DF3E06"/>
    <w:rsid w:val="00DF447B"/>
    <w:rsid w:val="00DF456D"/>
    <w:rsid w:val="00DF49E9"/>
    <w:rsid w:val="00DF4AD4"/>
    <w:rsid w:val="00DF531B"/>
    <w:rsid w:val="00DF545D"/>
    <w:rsid w:val="00DF55FD"/>
    <w:rsid w:val="00DF568D"/>
    <w:rsid w:val="00DF5761"/>
    <w:rsid w:val="00DF58D9"/>
    <w:rsid w:val="00DF5C94"/>
    <w:rsid w:val="00DF60BB"/>
    <w:rsid w:val="00DF6115"/>
    <w:rsid w:val="00DF637A"/>
    <w:rsid w:val="00DF63F8"/>
    <w:rsid w:val="00DF65E4"/>
    <w:rsid w:val="00DF6BAD"/>
    <w:rsid w:val="00DF6C45"/>
    <w:rsid w:val="00DF7318"/>
    <w:rsid w:val="00DF7648"/>
    <w:rsid w:val="00DF768C"/>
    <w:rsid w:val="00DF772A"/>
    <w:rsid w:val="00DF781A"/>
    <w:rsid w:val="00DF7B05"/>
    <w:rsid w:val="00DF7B66"/>
    <w:rsid w:val="00DF7BEA"/>
    <w:rsid w:val="00DF7C59"/>
    <w:rsid w:val="00E000A4"/>
    <w:rsid w:val="00E001CA"/>
    <w:rsid w:val="00E002F4"/>
    <w:rsid w:val="00E004CB"/>
    <w:rsid w:val="00E005EE"/>
    <w:rsid w:val="00E00693"/>
    <w:rsid w:val="00E00928"/>
    <w:rsid w:val="00E00952"/>
    <w:rsid w:val="00E00A90"/>
    <w:rsid w:val="00E00AD6"/>
    <w:rsid w:val="00E00B2A"/>
    <w:rsid w:val="00E00BE7"/>
    <w:rsid w:val="00E00C55"/>
    <w:rsid w:val="00E00E23"/>
    <w:rsid w:val="00E00E54"/>
    <w:rsid w:val="00E00E8F"/>
    <w:rsid w:val="00E00F8B"/>
    <w:rsid w:val="00E0130F"/>
    <w:rsid w:val="00E014C0"/>
    <w:rsid w:val="00E01AA0"/>
    <w:rsid w:val="00E01E2E"/>
    <w:rsid w:val="00E01F55"/>
    <w:rsid w:val="00E01F65"/>
    <w:rsid w:val="00E020C6"/>
    <w:rsid w:val="00E025D5"/>
    <w:rsid w:val="00E02793"/>
    <w:rsid w:val="00E02935"/>
    <w:rsid w:val="00E02ADA"/>
    <w:rsid w:val="00E02BE8"/>
    <w:rsid w:val="00E02BFB"/>
    <w:rsid w:val="00E02D62"/>
    <w:rsid w:val="00E03344"/>
    <w:rsid w:val="00E03646"/>
    <w:rsid w:val="00E03D1B"/>
    <w:rsid w:val="00E03E76"/>
    <w:rsid w:val="00E04497"/>
    <w:rsid w:val="00E04659"/>
    <w:rsid w:val="00E04931"/>
    <w:rsid w:val="00E049A5"/>
    <w:rsid w:val="00E049AF"/>
    <w:rsid w:val="00E04DFC"/>
    <w:rsid w:val="00E04EA4"/>
    <w:rsid w:val="00E0519A"/>
    <w:rsid w:val="00E051DF"/>
    <w:rsid w:val="00E055E7"/>
    <w:rsid w:val="00E05774"/>
    <w:rsid w:val="00E05BA1"/>
    <w:rsid w:val="00E05BBB"/>
    <w:rsid w:val="00E05DCB"/>
    <w:rsid w:val="00E0622C"/>
    <w:rsid w:val="00E06581"/>
    <w:rsid w:val="00E065A0"/>
    <w:rsid w:val="00E067B8"/>
    <w:rsid w:val="00E06861"/>
    <w:rsid w:val="00E06A5C"/>
    <w:rsid w:val="00E06B86"/>
    <w:rsid w:val="00E06DB9"/>
    <w:rsid w:val="00E07017"/>
    <w:rsid w:val="00E070AF"/>
    <w:rsid w:val="00E074F4"/>
    <w:rsid w:val="00E076FA"/>
    <w:rsid w:val="00E078A5"/>
    <w:rsid w:val="00E07969"/>
    <w:rsid w:val="00E07975"/>
    <w:rsid w:val="00E07E6A"/>
    <w:rsid w:val="00E07FB0"/>
    <w:rsid w:val="00E10165"/>
    <w:rsid w:val="00E104FF"/>
    <w:rsid w:val="00E106C2"/>
    <w:rsid w:val="00E109B2"/>
    <w:rsid w:val="00E109D2"/>
    <w:rsid w:val="00E10A18"/>
    <w:rsid w:val="00E10C0E"/>
    <w:rsid w:val="00E10C81"/>
    <w:rsid w:val="00E10DA9"/>
    <w:rsid w:val="00E11160"/>
    <w:rsid w:val="00E11358"/>
    <w:rsid w:val="00E1143D"/>
    <w:rsid w:val="00E1149C"/>
    <w:rsid w:val="00E116B9"/>
    <w:rsid w:val="00E1170C"/>
    <w:rsid w:val="00E11854"/>
    <w:rsid w:val="00E11982"/>
    <w:rsid w:val="00E11BC9"/>
    <w:rsid w:val="00E11C8C"/>
    <w:rsid w:val="00E11DFE"/>
    <w:rsid w:val="00E11E58"/>
    <w:rsid w:val="00E12065"/>
    <w:rsid w:val="00E12186"/>
    <w:rsid w:val="00E1220C"/>
    <w:rsid w:val="00E1245C"/>
    <w:rsid w:val="00E12528"/>
    <w:rsid w:val="00E12530"/>
    <w:rsid w:val="00E12921"/>
    <w:rsid w:val="00E12985"/>
    <w:rsid w:val="00E129A6"/>
    <w:rsid w:val="00E12A1A"/>
    <w:rsid w:val="00E12BBD"/>
    <w:rsid w:val="00E12D30"/>
    <w:rsid w:val="00E13100"/>
    <w:rsid w:val="00E13126"/>
    <w:rsid w:val="00E13652"/>
    <w:rsid w:val="00E13D4B"/>
    <w:rsid w:val="00E14220"/>
    <w:rsid w:val="00E14231"/>
    <w:rsid w:val="00E143D7"/>
    <w:rsid w:val="00E1449A"/>
    <w:rsid w:val="00E14845"/>
    <w:rsid w:val="00E1488D"/>
    <w:rsid w:val="00E14976"/>
    <w:rsid w:val="00E14C52"/>
    <w:rsid w:val="00E14C99"/>
    <w:rsid w:val="00E14D4C"/>
    <w:rsid w:val="00E14E92"/>
    <w:rsid w:val="00E15183"/>
    <w:rsid w:val="00E1546F"/>
    <w:rsid w:val="00E1550C"/>
    <w:rsid w:val="00E1558D"/>
    <w:rsid w:val="00E15B9A"/>
    <w:rsid w:val="00E15E65"/>
    <w:rsid w:val="00E15FF9"/>
    <w:rsid w:val="00E164CC"/>
    <w:rsid w:val="00E164F8"/>
    <w:rsid w:val="00E16591"/>
    <w:rsid w:val="00E1664B"/>
    <w:rsid w:val="00E16774"/>
    <w:rsid w:val="00E16EAC"/>
    <w:rsid w:val="00E16F7F"/>
    <w:rsid w:val="00E17137"/>
    <w:rsid w:val="00E1740C"/>
    <w:rsid w:val="00E17554"/>
    <w:rsid w:val="00E1756B"/>
    <w:rsid w:val="00E17575"/>
    <w:rsid w:val="00E179ED"/>
    <w:rsid w:val="00E17F65"/>
    <w:rsid w:val="00E17FB7"/>
    <w:rsid w:val="00E20116"/>
    <w:rsid w:val="00E202A7"/>
    <w:rsid w:val="00E204DF"/>
    <w:rsid w:val="00E20548"/>
    <w:rsid w:val="00E207D8"/>
    <w:rsid w:val="00E20A1B"/>
    <w:rsid w:val="00E20A57"/>
    <w:rsid w:val="00E20B53"/>
    <w:rsid w:val="00E20D1E"/>
    <w:rsid w:val="00E21236"/>
    <w:rsid w:val="00E212EC"/>
    <w:rsid w:val="00E21CC9"/>
    <w:rsid w:val="00E21E34"/>
    <w:rsid w:val="00E224A8"/>
    <w:rsid w:val="00E22565"/>
    <w:rsid w:val="00E22588"/>
    <w:rsid w:val="00E22AAC"/>
    <w:rsid w:val="00E22B39"/>
    <w:rsid w:val="00E22BE8"/>
    <w:rsid w:val="00E22E0A"/>
    <w:rsid w:val="00E22EB4"/>
    <w:rsid w:val="00E230C6"/>
    <w:rsid w:val="00E232D3"/>
    <w:rsid w:val="00E235D3"/>
    <w:rsid w:val="00E236E3"/>
    <w:rsid w:val="00E23737"/>
    <w:rsid w:val="00E2396C"/>
    <w:rsid w:val="00E239A6"/>
    <w:rsid w:val="00E23DAE"/>
    <w:rsid w:val="00E24015"/>
    <w:rsid w:val="00E24373"/>
    <w:rsid w:val="00E24A9E"/>
    <w:rsid w:val="00E24B9B"/>
    <w:rsid w:val="00E24C86"/>
    <w:rsid w:val="00E24DF6"/>
    <w:rsid w:val="00E24E4B"/>
    <w:rsid w:val="00E24FB2"/>
    <w:rsid w:val="00E25132"/>
    <w:rsid w:val="00E25574"/>
    <w:rsid w:val="00E255B6"/>
    <w:rsid w:val="00E25630"/>
    <w:rsid w:val="00E257A9"/>
    <w:rsid w:val="00E2588B"/>
    <w:rsid w:val="00E25946"/>
    <w:rsid w:val="00E25AEB"/>
    <w:rsid w:val="00E25F11"/>
    <w:rsid w:val="00E26159"/>
    <w:rsid w:val="00E264F9"/>
    <w:rsid w:val="00E266A0"/>
    <w:rsid w:val="00E266AF"/>
    <w:rsid w:val="00E26783"/>
    <w:rsid w:val="00E2689B"/>
    <w:rsid w:val="00E26C53"/>
    <w:rsid w:val="00E26EE2"/>
    <w:rsid w:val="00E26FC8"/>
    <w:rsid w:val="00E27263"/>
    <w:rsid w:val="00E2728B"/>
    <w:rsid w:val="00E277EE"/>
    <w:rsid w:val="00E27940"/>
    <w:rsid w:val="00E30070"/>
    <w:rsid w:val="00E300D2"/>
    <w:rsid w:val="00E303AF"/>
    <w:rsid w:val="00E306B5"/>
    <w:rsid w:val="00E308E7"/>
    <w:rsid w:val="00E3095E"/>
    <w:rsid w:val="00E30995"/>
    <w:rsid w:val="00E30B12"/>
    <w:rsid w:val="00E30F42"/>
    <w:rsid w:val="00E30F8C"/>
    <w:rsid w:val="00E30F92"/>
    <w:rsid w:val="00E31449"/>
    <w:rsid w:val="00E3149A"/>
    <w:rsid w:val="00E3174E"/>
    <w:rsid w:val="00E317D5"/>
    <w:rsid w:val="00E31987"/>
    <w:rsid w:val="00E31C2A"/>
    <w:rsid w:val="00E31FE4"/>
    <w:rsid w:val="00E320DE"/>
    <w:rsid w:val="00E3219A"/>
    <w:rsid w:val="00E321D6"/>
    <w:rsid w:val="00E3221A"/>
    <w:rsid w:val="00E324D3"/>
    <w:rsid w:val="00E32538"/>
    <w:rsid w:val="00E327F8"/>
    <w:rsid w:val="00E329A6"/>
    <w:rsid w:val="00E330E2"/>
    <w:rsid w:val="00E33225"/>
    <w:rsid w:val="00E33474"/>
    <w:rsid w:val="00E33778"/>
    <w:rsid w:val="00E339C0"/>
    <w:rsid w:val="00E33B31"/>
    <w:rsid w:val="00E33C68"/>
    <w:rsid w:val="00E33CF3"/>
    <w:rsid w:val="00E33E2B"/>
    <w:rsid w:val="00E33EBF"/>
    <w:rsid w:val="00E33FCF"/>
    <w:rsid w:val="00E33FFA"/>
    <w:rsid w:val="00E3404C"/>
    <w:rsid w:val="00E343BC"/>
    <w:rsid w:val="00E34463"/>
    <w:rsid w:val="00E34489"/>
    <w:rsid w:val="00E34686"/>
    <w:rsid w:val="00E34D23"/>
    <w:rsid w:val="00E34DAC"/>
    <w:rsid w:val="00E34EAC"/>
    <w:rsid w:val="00E35009"/>
    <w:rsid w:val="00E3503B"/>
    <w:rsid w:val="00E35379"/>
    <w:rsid w:val="00E35535"/>
    <w:rsid w:val="00E355C6"/>
    <w:rsid w:val="00E357FA"/>
    <w:rsid w:val="00E358F4"/>
    <w:rsid w:val="00E35951"/>
    <w:rsid w:val="00E35DD2"/>
    <w:rsid w:val="00E35E50"/>
    <w:rsid w:val="00E36041"/>
    <w:rsid w:val="00E36193"/>
    <w:rsid w:val="00E3665D"/>
    <w:rsid w:val="00E3696C"/>
    <w:rsid w:val="00E36A90"/>
    <w:rsid w:val="00E36D60"/>
    <w:rsid w:val="00E36EEB"/>
    <w:rsid w:val="00E36F84"/>
    <w:rsid w:val="00E37050"/>
    <w:rsid w:val="00E37067"/>
    <w:rsid w:val="00E37260"/>
    <w:rsid w:val="00E37567"/>
    <w:rsid w:val="00E3757C"/>
    <w:rsid w:val="00E376CB"/>
    <w:rsid w:val="00E376ED"/>
    <w:rsid w:val="00E37A30"/>
    <w:rsid w:val="00E37A71"/>
    <w:rsid w:val="00E37D9C"/>
    <w:rsid w:val="00E37F8C"/>
    <w:rsid w:val="00E4026C"/>
    <w:rsid w:val="00E40270"/>
    <w:rsid w:val="00E4041E"/>
    <w:rsid w:val="00E407DE"/>
    <w:rsid w:val="00E40974"/>
    <w:rsid w:val="00E40A4C"/>
    <w:rsid w:val="00E40CB9"/>
    <w:rsid w:val="00E40F77"/>
    <w:rsid w:val="00E412D0"/>
    <w:rsid w:val="00E413C6"/>
    <w:rsid w:val="00E413DF"/>
    <w:rsid w:val="00E415B6"/>
    <w:rsid w:val="00E4207F"/>
    <w:rsid w:val="00E42276"/>
    <w:rsid w:val="00E42379"/>
    <w:rsid w:val="00E4238E"/>
    <w:rsid w:val="00E42554"/>
    <w:rsid w:val="00E42667"/>
    <w:rsid w:val="00E42881"/>
    <w:rsid w:val="00E4297F"/>
    <w:rsid w:val="00E42ABF"/>
    <w:rsid w:val="00E42B44"/>
    <w:rsid w:val="00E42D90"/>
    <w:rsid w:val="00E42FDF"/>
    <w:rsid w:val="00E436BA"/>
    <w:rsid w:val="00E43957"/>
    <w:rsid w:val="00E43C06"/>
    <w:rsid w:val="00E441F1"/>
    <w:rsid w:val="00E4424A"/>
    <w:rsid w:val="00E446C2"/>
    <w:rsid w:val="00E4475E"/>
    <w:rsid w:val="00E44781"/>
    <w:rsid w:val="00E44EB7"/>
    <w:rsid w:val="00E453AD"/>
    <w:rsid w:val="00E45971"/>
    <w:rsid w:val="00E45C6B"/>
    <w:rsid w:val="00E4602C"/>
    <w:rsid w:val="00E46822"/>
    <w:rsid w:val="00E469A7"/>
    <w:rsid w:val="00E46A28"/>
    <w:rsid w:val="00E47118"/>
    <w:rsid w:val="00E47347"/>
    <w:rsid w:val="00E473CD"/>
    <w:rsid w:val="00E47567"/>
    <w:rsid w:val="00E476B0"/>
    <w:rsid w:val="00E4775B"/>
    <w:rsid w:val="00E47BAD"/>
    <w:rsid w:val="00E47CB6"/>
    <w:rsid w:val="00E47F36"/>
    <w:rsid w:val="00E50081"/>
    <w:rsid w:val="00E50129"/>
    <w:rsid w:val="00E501D3"/>
    <w:rsid w:val="00E5028A"/>
    <w:rsid w:val="00E50430"/>
    <w:rsid w:val="00E50477"/>
    <w:rsid w:val="00E504B3"/>
    <w:rsid w:val="00E506E8"/>
    <w:rsid w:val="00E513D6"/>
    <w:rsid w:val="00E516BB"/>
    <w:rsid w:val="00E516FF"/>
    <w:rsid w:val="00E51956"/>
    <w:rsid w:val="00E51A86"/>
    <w:rsid w:val="00E51C4A"/>
    <w:rsid w:val="00E51E65"/>
    <w:rsid w:val="00E51EF8"/>
    <w:rsid w:val="00E52139"/>
    <w:rsid w:val="00E52168"/>
    <w:rsid w:val="00E527B3"/>
    <w:rsid w:val="00E52884"/>
    <w:rsid w:val="00E52CE3"/>
    <w:rsid w:val="00E52D05"/>
    <w:rsid w:val="00E52DE8"/>
    <w:rsid w:val="00E52ED6"/>
    <w:rsid w:val="00E531B8"/>
    <w:rsid w:val="00E533AA"/>
    <w:rsid w:val="00E534EF"/>
    <w:rsid w:val="00E536A2"/>
    <w:rsid w:val="00E53739"/>
    <w:rsid w:val="00E53AE9"/>
    <w:rsid w:val="00E53C2C"/>
    <w:rsid w:val="00E53D1E"/>
    <w:rsid w:val="00E53E70"/>
    <w:rsid w:val="00E53E80"/>
    <w:rsid w:val="00E53F33"/>
    <w:rsid w:val="00E54186"/>
    <w:rsid w:val="00E54688"/>
    <w:rsid w:val="00E54981"/>
    <w:rsid w:val="00E54A7E"/>
    <w:rsid w:val="00E54EDF"/>
    <w:rsid w:val="00E553DB"/>
    <w:rsid w:val="00E5545B"/>
    <w:rsid w:val="00E5557E"/>
    <w:rsid w:val="00E5577C"/>
    <w:rsid w:val="00E558F7"/>
    <w:rsid w:val="00E559B3"/>
    <w:rsid w:val="00E55A3F"/>
    <w:rsid w:val="00E55C37"/>
    <w:rsid w:val="00E55C95"/>
    <w:rsid w:val="00E55DD3"/>
    <w:rsid w:val="00E55E86"/>
    <w:rsid w:val="00E55EF9"/>
    <w:rsid w:val="00E562AC"/>
    <w:rsid w:val="00E56338"/>
    <w:rsid w:val="00E563CC"/>
    <w:rsid w:val="00E5665F"/>
    <w:rsid w:val="00E56818"/>
    <w:rsid w:val="00E5682B"/>
    <w:rsid w:val="00E5692A"/>
    <w:rsid w:val="00E5696E"/>
    <w:rsid w:val="00E56981"/>
    <w:rsid w:val="00E56ABF"/>
    <w:rsid w:val="00E570E3"/>
    <w:rsid w:val="00E575CF"/>
    <w:rsid w:val="00E576CA"/>
    <w:rsid w:val="00E57D93"/>
    <w:rsid w:val="00E57F47"/>
    <w:rsid w:val="00E57F5D"/>
    <w:rsid w:val="00E6008D"/>
    <w:rsid w:val="00E6021D"/>
    <w:rsid w:val="00E602B6"/>
    <w:rsid w:val="00E604F4"/>
    <w:rsid w:val="00E60FE3"/>
    <w:rsid w:val="00E610E5"/>
    <w:rsid w:val="00E61AF8"/>
    <w:rsid w:val="00E61DAC"/>
    <w:rsid w:val="00E61DEB"/>
    <w:rsid w:val="00E61FEA"/>
    <w:rsid w:val="00E6279A"/>
    <w:rsid w:val="00E62B43"/>
    <w:rsid w:val="00E62F94"/>
    <w:rsid w:val="00E63082"/>
    <w:rsid w:val="00E632D6"/>
    <w:rsid w:val="00E63440"/>
    <w:rsid w:val="00E6387F"/>
    <w:rsid w:val="00E63BDF"/>
    <w:rsid w:val="00E63BF5"/>
    <w:rsid w:val="00E63D2B"/>
    <w:rsid w:val="00E63F43"/>
    <w:rsid w:val="00E646A9"/>
    <w:rsid w:val="00E64A12"/>
    <w:rsid w:val="00E64A4F"/>
    <w:rsid w:val="00E64A72"/>
    <w:rsid w:val="00E64E2D"/>
    <w:rsid w:val="00E650A6"/>
    <w:rsid w:val="00E65467"/>
    <w:rsid w:val="00E65468"/>
    <w:rsid w:val="00E656AB"/>
    <w:rsid w:val="00E65975"/>
    <w:rsid w:val="00E65BA3"/>
    <w:rsid w:val="00E65FCD"/>
    <w:rsid w:val="00E66050"/>
    <w:rsid w:val="00E66140"/>
    <w:rsid w:val="00E6630D"/>
    <w:rsid w:val="00E66594"/>
    <w:rsid w:val="00E6663C"/>
    <w:rsid w:val="00E66672"/>
    <w:rsid w:val="00E666A4"/>
    <w:rsid w:val="00E66A63"/>
    <w:rsid w:val="00E66BF0"/>
    <w:rsid w:val="00E66D96"/>
    <w:rsid w:val="00E66E03"/>
    <w:rsid w:val="00E6702E"/>
    <w:rsid w:val="00E67104"/>
    <w:rsid w:val="00E67422"/>
    <w:rsid w:val="00E679D3"/>
    <w:rsid w:val="00E67A9B"/>
    <w:rsid w:val="00E67BBC"/>
    <w:rsid w:val="00E67CF5"/>
    <w:rsid w:val="00E67FCC"/>
    <w:rsid w:val="00E701EC"/>
    <w:rsid w:val="00E7046C"/>
    <w:rsid w:val="00E707DF"/>
    <w:rsid w:val="00E70DE0"/>
    <w:rsid w:val="00E710A9"/>
    <w:rsid w:val="00E710CC"/>
    <w:rsid w:val="00E7110F"/>
    <w:rsid w:val="00E71664"/>
    <w:rsid w:val="00E71A5B"/>
    <w:rsid w:val="00E71DED"/>
    <w:rsid w:val="00E7207C"/>
    <w:rsid w:val="00E721B5"/>
    <w:rsid w:val="00E72230"/>
    <w:rsid w:val="00E724F8"/>
    <w:rsid w:val="00E726FB"/>
    <w:rsid w:val="00E72826"/>
    <w:rsid w:val="00E72974"/>
    <w:rsid w:val="00E72987"/>
    <w:rsid w:val="00E72B9F"/>
    <w:rsid w:val="00E734D3"/>
    <w:rsid w:val="00E73756"/>
    <w:rsid w:val="00E73917"/>
    <w:rsid w:val="00E73A87"/>
    <w:rsid w:val="00E73BC6"/>
    <w:rsid w:val="00E73D8A"/>
    <w:rsid w:val="00E73FB9"/>
    <w:rsid w:val="00E73FD6"/>
    <w:rsid w:val="00E741BD"/>
    <w:rsid w:val="00E742CF"/>
    <w:rsid w:val="00E742FF"/>
    <w:rsid w:val="00E74420"/>
    <w:rsid w:val="00E7447D"/>
    <w:rsid w:val="00E7449F"/>
    <w:rsid w:val="00E744B4"/>
    <w:rsid w:val="00E744CD"/>
    <w:rsid w:val="00E7453B"/>
    <w:rsid w:val="00E74737"/>
    <w:rsid w:val="00E74756"/>
    <w:rsid w:val="00E74789"/>
    <w:rsid w:val="00E748FB"/>
    <w:rsid w:val="00E74B72"/>
    <w:rsid w:val="00E74BA6"/>
    <w:rsid w:val="00E74C66"/>
    <w:rsid w:val="00E74D95"/>
    <w:rsid w:val="00E74EAF"/>
    <w:rsid w:val="00E753B3"/>
    <w:rsid w:val="00E753FF"/>
    <w:rsid w:val="00E7566B"/>
    <w:rsid w:val="00E75B01"/>
    <w:rsid w:val="00E75C0D"/>
    <w:rsid w:val="00E75C1F"/>
    <w:rsid w:val="00E75F7A"/>
    <w:rsid w:val="00E760B9"/>
    <w:rsid w:val="00E76589"/>
    <w:rsid w:val="00E766E2"/>
    <w:rsid w:val="00E77027"/>
    <w:rsid w:val="00E77102"/>
    <w:rsid w:val="00E77449"/>
    <w:rsid w:val="00E774FC"/>
    <w:rsid w:val="00E77A9F"/>
    <w:rsid w:val="00E77AEC"/>
    <w:rsid w:val="00E77AF5"/>
    <w:rsid w:val="00E77AF8"/>
    <w:rsid w:val="00E80498"/>
    <w:rsid w:val="00E805A9"/>
    <w:rsid w:val="00E80BF3"/>
    <w:rsid w:val="00E80C32"/>
    <w:rsid w:val="00E80D0B"/>
    <w:rsid w:val="00E80D48"/>
    <w:rsid w:val="00E80F5C"/>
    <w:rsid w:val="00E80F80"/>
    <w:rsid w:val="00E80F89"/>
    <w:rsid w:val="00E810DA"/>
    <w:rsid w:val="00E81268"/>
    <w:rsid w:val="00E81F8A"/>
    <w:rsid w:val="00E82006"/>
    <w:rsid w:val="00E8203C"/>
    <w:rsid w:val="00E824B7"/>
    <w:rsid w:val="00E8252E"/>
    <w:rsid w:val="00E836EC"/>
    <w:rsid w:val="00E8375B"/>
    <w:rsid w:val="00E83D6B"/>
    <w:rsid w:val="00E83E2E"/>
    <w:rsid w:val="00E83E92"/>
    <w:rsid w:val="00E84204"/>
    <w:rsid w:val="00E84276"/>
    <w:rsid w:val="00E84583"/>
    <w:rsid w:val="00E84592"/>
    <w:rsid w:val="00E845C6"/>
    <w:rsid w:val="00E84809"/>
    <w:rsid w:val="00E84B08"/>
    <w:rsid w:val="00E84BFA"/>
    <w:rsid w:val="00E85090"/>
    <w:rsid w:val="00E851EE"/>
    <w:rsid w:val="00E851FB"/>
    <w:rsid w:val="00E852C3"/>
    <w:rsid w:val="00E85533"/>
    <w:rsid w:val="00E859C5"/>
    <w:rsid w:val="00E85E16"/>
    <w:rsid w:val="00E85E31"/>
    <w:rsid w:val="00E85E9A"/>
    <w:rsid w:val="00E86308"/>
    <w:rsid w:val="00E86456"/>
    <w:rsid w:val="00E86631"/>
    <w:rsid w:val="00E8687B"/>
    <w:rsid w:val="00E869E4"/>
    <w:rsid w:val="00E874FF"/>
    <w:rsid w:val="00E875F7"/>
    <w:rsid w:val="00E87708"/>
    <w:rsid w:val="00E87788"/>
    <w:rsid w:val="00E87950"/>
    <w:rsid w:val="00E87B41"/>
    <w:rsid w:val="00E87B8E"/>
    <w:rsid w:val="00E87E7D"/>
    <w:rsid w:val="00E87EB9"/>
    <w:rsid w:val="00E90501"/>
    <w:rsid w:val="00E9084F"/>
    <w:rsid w:val="00E909F2"/>
    <w:rsid w:val="00E90AF8"/>
    <w:rsid w:val="00E90C49"/>
    <w:rsid w:val="00E90E10"/>
    <w:rsid w:val="00E91089"/>
    <w:rsid w:val="00E91373"/>
    <w:rsid w:val="00E914E0"/>
    <w:rsid w:val="00E91539"/>
    <w:rsid w:val="00E91544"/>
    <w:rsid w:val="00E915D6"/>
    <w:rsid w:val="00E91852"/>
    <w:rsid w:val="00E918B1"/>
    <w:rsid w:val="00E91A93"/>
    <w:rsid w:val="00E91FC6"/>
    <w:rsid w:val="00E920B1"/>
    <w:rsid w:val="00E92286"/>
    <w:rsid w:val="00E923F2"/>
    <w:rsid w:val="00E92496"/>
    <w:rsid w:val="00E92676"/>
    <w:rsid w:val="00E92826"/>
    <w:rsid w:val="00E92E65"/>
    <w:rsid w:val="00E9300B"/>
    <w:rsid w:val="00E933C7"/>
    <w:rsid w:val="00E93427"/>
    <w:rsid w:val="00E93431"/>
    <w:rsid w:val="00E936CA"/>
    <w:rsid w:val="00E93874"/>
    <w:rsid w:val="00E938B4"/>
    <w:rsid w:val="00E93A42"/>
    <w:rsid w:val="00E93BB1"/>
    <w:rsid w:val="00E93BCB"/>
    <w:rsid w:val="00E93EA0"/>
    <w:rsid w:val="00E9450F"/>
    <w:rsid w:val="00E94803"/>
    <w:rsid w:val="00E95050"/>
    <w:rsid w:val="00E9515C"/>
    <w:rsid w:val="00E95551"/>
    <w:rsid w:val="00E9572D"/>
    <w:rsid w:val="00E95AC9"/>
    <w:rsid w:val="00E95D6C"/>
    <w:rsid w:val="00E95E04"/>
    <w:rsid w:val="00E95EDB"/>
    <w:rsid w:val="00E960F9"/>
    <w:rsid w:val="00E961D5"/>
    <w:rsid w:val="00E962F7"/>
    <w:rsid w:val="00E964D4"/>
    <w:rsid w:val="00E96768"/>
    <w:rsid w:val="00E967A0"/>
    <w:rsid w:val="00E96803"/>
    <w:rsid w:val="00E96A87"/>
    <w:rsid w:val="00E96BB7"/>
    <w:rsid w:val="00E96C51"/>
    <w:rsid w:val="00E970B7"/>
    <w:rsid w:val="00E9753F"/>
    <w:rsid w:val="00E97DAE"/>
    <w:rsid w:val="00E97E79"/>
    <w:rsid w:val="00E97E8E"/>
    <w:rsid w:val="00EA00A9"/>
    <w:rsid w:val="00EA0442"/>
    <w:rsid w:val="00EA05E4"/>
    <w:rsid w:val="00EA0775"/>
    <w:rsid w:val="00EA08FA"/>
    <w:rsid w:val="00EA0B88"/>
    <w:rsid w:val="00EA0C64"/>
    <w:rsid w:val="00EA0D62"/>
    <w:rsid w:val="00EA0DE2"/>
    <w:rsid w:val="00EA0EE6"/>
    <w:rsid w:val="00EA104E"/>
    <w:rsid w:val="00EA1948"/>
    <w:rsid w:val="00EA1957"/>
    <w:rsid w:val="00EA1A67"/>
    <w:rsid w:val="00EA1E21"/>
    <w:rsid w:val="00EA1ECC"/>
    <w:rsid w:val="00EA2052"/>
    <w:rsid w:val="00EA275A"/>
    <w:rsid w:val="00EA2992"/>
    <w:rsid w:val="00EA2B37"/>
    <w:rsid w:val="00EA2CEF"/>
    <w:rsid w:val="00EA2D72"/>
    <w:rsid w:val="00EA32F4"/>
    <w:rsid w:val="00EA35B4"/>
    <w:rsid w:val="00EA3782"/>
    <w:rsid w:val="00EA3792"/>
    <w:rsid w:val="00EA3E39"/>
    <w:rsid w:val="00EA4103"/>
    <w:rsid w:val="00EA4264"/>
    <w:rsid w:val="00EA42E7"/>
    <w:rsid w:val="00EA44C3"/>
    <w:rsid w:val="00EA4677"/>
    <w:rsid w:val="00EA4784"/>
    <w:rsid w:val="00EA4A21"/>
    <w:rsid w:val="00EA4A9F"/>
    <w:rsid w:val="00EA4BEB"/>
    <w:rsid w:val="00EA4F86"/>
    <w:rsid w:val="00EA54F5"/>
    <w:rsid w:val="00EA5770"/>
    <w:rsid w:val="00EA5C96"/>
    <w:rsid w:val="00EA60DA"/>
    <w:rsid w:val="00EA6315"/>
    <w:rsid w:val="00EA6324"/>
    <w:rsid w:val="00EA67B7"/>
    <w:rsid w:val="00EA6A1C"/>
    <w:rsid w:val="00EA6DE0"/>
    <w:rsid w:val="00EA6F21"/>
    <w:rsid w:val="00EA6F61"/>
    <w:rsid w:val="00EA7358"/>
    <w:rsid w:val="00EA735C"/>
    <w:rsid w:val="00EA758D"/>
    <w:rsid w:val="00EA77C7"/>
    <w:rsid w:val="00EA7972"/>
    <w:rsid w:val="00EA7B5B"/>
    <w:rsid w:val="00EA7BEC"/>
    <w:rsid w:val="00EA7D90"/>
    <w:rsid w:val="00EB0037"/>
    <w:rsid w:val="00EB01FC"/>
    <w:rsid w:val="00EB0256"/>
    <w:rsid w:val="00EB02AD"/>
    <w:rsid w:val="00EB0679"/>
    <w:rsid w:val="00EB0D02"/>
    <w:rsid w:val="00EB0F57"/>
    <w:rsid w:val="00EB101B"/>
    <w:rsid w:val="00EB17C7"/>
    <w:rsid w:val="00EB1B75"/>
    <w:rsid w:val="00EB2120"/>
    <w:rsid w:val="00EB22B2"/>
    <w:rsid w:val="00EB23ED"/>
    <w:rsid w:val="00EB2462"/>
    <w:rsid w:val="00EB24D6"/>
    <w:rsid w:val="00EB26F3"/>
    <w:rsid w:val="00EB276E"/>
    <w:rsid w:val="00EB27CB"/>
    <w:rsid w:val="00EB2D64"/>
    <w:rsid w:val="00EB3296"/>
    <w:rsid w:val="00EB338B"/>
    <w:rsid w:val="00EB3A7A"/>
    <w:rsid w:val="00EB3BC1"/>
    <w:rsid w:val="00EB4272"/>
    <w:rsid w:val="00EB4463"/>
    <w:rsid w:val="00EB4750"/>
    <w:rsid w:val="00EB48A2"/>
    <w:rsid w:val="00EB4AA8"/>
    <w:rsid w:val="00EB4AD5"/>
    <w:rsid w:val="00EB4E7E"/>
    <w:rsid w:val="00EB4FF9"/>
    <w:rsid w:val="00EB5036"/>
    <w:rsid w:val="00EB531A"/>
    <w:rsid w:val="00EB54F3"/>
    <w:rsid w:val="00EB553F"/>
    <w:rsid w:val="00EB58D6"/>
    <w:rsid w:val="00EB5AEE"/>
    <w:rsid w:val="00EB5DAB"/>
    <w:rsid w:val="00EB5FCC"/>
    <w:rsid w:val="00EB6095"/>
    <w:rsid w:val="00EB6103"/>
    <w:rsid w:val="00EB667C"/>
    <w:rsid w:val="00EB673C"/>
    <w:rsid w:val="00EB7101"/>
    <w:rsid w:val="00EB72E7"/>
    <w:rsid w:val="00EB7694"/>
    <w:rsid w:val="00EB7A84"/>
    <w:rsid w:val="00EB7B56"/>
    <w:rsid w:val="00EB7C4E"/>
    <w:rsid w:val="00EC0060"/>
    <w:rsid w:val="00EC030B"/>
    <w:rsid w:val="00EC0461"/>
    <w:rsid w:val="00EC0521"/>
    <w:rsid w:val="00EC0914"/>
    <w:rsid w:val="00EC098F"/>
    <w:rsid w:val="00EC0A0B"/>
    <w:rsid w:val="00EC1199"/>
    <w:rsid w:val="00EC137B"/>
    <w:rsid w:val="00EC137C"/>
    <w:rsid w:val="00EC1383"/>
    <w:rsid w:val="00EC198E"/>
    <w:rsid w:val="00EC1D99"/>
    <w:rsid w:val="00EC1DCD"/>
    <w:rsid w:val="00EC22AC"/>
    <w:rsid w:val="00EC261F"/>
    <w:rsid w:val="00EC2D7E"/>
    <w:rsid w:val="00EC2FDE"/>
    <w:rsid w:val="00EC3186"/>
    <w:rsid w:val="00EC3363"/>
    <w:rsid w:val="00EC3447"/>
    <w:rsid w:val="00EC358B"/>
    <w:rsid w:val="00EC3675"/>
    <w:rsid w:val="00EC3872"/>
    <w:rsid w:val="00EC3A23"/>
    <w:rsid w:val="00EC3AB6"/>
    <w:rsid w:val="00EC3B9C"/>
    <w:rsid w:val="00EC3CD1"/>
    <w:rsid w:val="00EC40D4"/>
    <w:rsid w:val="00EC430A"/>
    <w:rsid w:val="00EC434D"/>
    <w:rsid w:val="00EC43EB"/>
    <w:rsid w:val="00EC463B"/>
    <w:rsid w:val="00EC4809"/>
    <w:rsid w:val="00EC49CD"/>
    <w:rsid w:val="00EC4CFC"/>
    <w:rsid w:val="00EC4EDC"/>
    <w:rsid w:val="00EC50DA"/>
    <w:rsid w:val="00EC536D"/>
    <w:rsid w:val="00EC53D3"/>
    <w:rsid w:val="00EC568C"/>
    <w:rsid w:val="00EC5B34"/>
    <w:rsid w:val="00EC5CB9"/>
    <w:rsid w:val="00EC5F88"/>
    <w:rsid w:val="00EC60C8"/>
    <w:rsid w:val="00EC6194"/>
    <w:rsid w:val="00EC619F"/>
    <w:rsid w:val="00EC61DF"/>
    <w:rsid w:val="00EC68A7"/>
    <w:rsid w:val="00EC68B9"/>
    <w:rsid w:val="00EC6954"/>
    <w:rsid w:val="00EC699D"/>
    <w:rsid w:val="00EC6AEA"/>
    <w:rsid w:val="00EC6CA2"/>
    <w:rsid w:val="00EC6DB8"/>
    <w:rsid w:val="00EC7118"/>
    <w:rsid w:val="00EC762E"/>
    <w:rsid w:val="00EC7B06"/>
    <w:rsid w:val="00EC7D7B"/>
    <w:rsid w:val="00EC7EB0"/>
    <w:rsid w:val="00EC7FC9"/>
    <w:rsid w:val="00ED02FB"/>
    <w:rsid w:val="00ED0360"/>
    <w:rsid w:val="00ED052B"/>
    <w:rsid w:val="00ED093F"/>
    <w:rsid w:val="00ED0A25"/>
    <w:rsid w:val="00ED0D81"/>
    <w:rsid w:val="00ED0D87"/>
    <w:rsid w:val="00ED0E7C"/>
    <w:rsid w:val="00ED0F33"/>
    <w:rsid w:val="00ED17FD"/>
    <w:rsid w:val="00ED192E"/>
    <w:rsid w:val="00ED1A7D"/>
    <w:rsid w:val="00ED1A95"/>
    <w:rsid w:val="00ED1B8F"/>
    <w:rsid w:val="00ED1CB7"/>
    <w:rsid w:val="00ED2075"/>
    <w:rsid w:val="00ED2101"/>
    <w:rsid w:val="00ED2514"/>
    <w:rsid w:val="00ED28B3"/>
    <w:rsid w:val="00ED28B6"/>
    <w:rsid w:val="00ED2953"/>
    <w:rsid w:val="00ED2B15"/>
    <w:rsid w:val="00ED2EEB"/>
    <w:rsid w:val="00ED32EF"/>
    <w:rsid w:val="00ED3397"/>
    <w:rsid w:val="00ED37A3"/>
    <w:rsid w:val="00ED3A19"/>
    <w:rsid w:val="00ED3EA9"/>
    <w:rsid w:val="00ED3F30"/>
    <w:rsid w:val="00ED400F"/>
    <w:rsid w:val="00ED41C2"/>
    <w:rsid w:val="00ED42FA"/>
    <w:rsid w:val="00ED445A"/>
    <w:rsid w:val="00ED4466"/>
    <w:rsid w:val="00ED44A3"/>
    <w:rsid w:val="00ED4827"/>
    <w:rsid w:val="00ED4930"/>
    <w:rsid w:val="00ED49A1"/>
    <w:rsid w:val="00ED49C0"/>
    <w:rsid w:val="00ED515E"/>
    <w:rsid w:val="00ED5389"/>
    <w:rsid w:val="00ED59BF"/>
    <w:rsid w:val="00ED5A1C"/>
    <w:rsid w:val="00ED5AB2"/>
    <w:rsid w:val="00ED5B87"/>
    <w:rsid w:val="00ED5D3E"/>
    <w:rsid w:val="00ED6111"/>
    <w:rsid w:val="00ED6372"/>
    <w:rsid w:val="00ED6988"/>
    <w:rsid w:val="00ED6D53"/>
    <w:rsid w:val="00ED6D60"/>
    <w:rsid w:val="00ED6E54"/>
    <w:rsid w:val="00ED7343"/>
    <w:rsid w:val="00ED7811"/>
    <w:rsid w:val="00ED78C5"/>
    <w:rsid w:val="00ED7A01"/>
    <w:rsid w:val="00ED7A82"/>
    <w:rsid w:val="00ED7C34"/>
    <w:rsid w:val="00ED7F3F"/>
    <w:rsid w:val="00EE0967"/>
    <w:rsid w:val="00EE09E4"/>
    <w:rsid w:val="00EE0EC7"/>
    <w:rsid w:val="00EE10E0"/>
    <w:rsid w:val="00EE165A"/>
    <w:rsid w:val="00EE170C"/>
    <w:rsid w:val="00EE194B"/>
    <w:rsid w:val="00EE19D3"/>
    <w:rsid w:val="00EE1B59"/>
    <w:rsid w:val="00EE1C71"/>
    <w:rsid w:val="00EE1EC2"/>
    <w:rsid w:val="00EE1FB6"/>
    <w:rsid w:val="00EE1FBE"/>
    <w:rsid w:val="00EE21EF"/>
    <w:rsid w:val="00EE22E0"/>
    <w:rsid w:val="00EE2510"/>
    <w:rsid w:val="00EE25AF"/>
    <w:rsid w:val="00EE25BB"/>
    <w:rsid w:val="00EE273C"/>
    <w:rsid w:val="00EE278B"/>
    <w:rsid w:val="00EE28D8"/>
    <w:rsid w:val="00EE2B7A"/>
    <w:rsid w:val="00EE2D52"/>
    <w:rsid w:val="00EE2F83"/>
    <w:rsid w:val="00EE3012"/>
    <w:rsid w:val="00EE3062"/>
    <w:rsid w:val="00EE3256"/>
    <w:rsid w:val="00EE342E"/>
    <w:rsid w:val="00EE34AF"/>
    <w:rsid w:val="00EE34EE"/>
    <w:rsid w:val="00EE376C"/>
    <w:rsid w:val="00EE4090"/>
    <w:rsid w:val="00EE42A4"/>
    <w:rsid w:val="00EE484C"/>
    <w:rsid w:val="00EE4990"/>
    <w:rsid w:val="00EE4AFE"/>
    <w:rsid w:val="00EE53F3"/>
    <w:rsid w:val="00EE54BD"/>
    <w:rsid w:val="00EE54FC"/>
    <w:rsid w:val="00EE5A0A"/>
    <w:rsid w:val="00EE5EF4"/>
    <w:rsid w:val="00EE604F"/>
    <w:rsid w:val="00EE62B5"/>
    <w:rsid w:val="00EE6326"/>
    <w:rsid w:val="00EE64B3"/>
    <w:rsid w:val="00EE64E5"/>
    <w:rsid w:val="00EE64FD"/>
    <w:rsid w:val="00EE6668"/>
    <w:rsid w:val="00EE70EA"/>
    <w:rsid w:val="00EE71BD"/>
    <w:rsid w:val="00EE74D5"/>
    <w:rsid w:val="00EE74F0"/>
    <w:rsid w:val="00EE75C4"/>
    <w:rsid w:val="00EE766F"/>
    <w:rsid w:val="00EF0235"/>
    <w:rsid w:val="00EF025B"/>
    <w:rsid w:val="00EF0367"/>
    <w:rsid w:val="00EF07E7"/>
    <w:rsid w:val="00EF0C2C"/>
    <w:rsid w:val="00EF0C35"/>
    <w:rsid w:val="00EF0D05"/>
    <w:rsid w:val="00EF0D3D"/>
    <w:rsid w:val="00EF1269"/>
    <w:rsid w:val="00EF13C3"/>
    <w:rsid w:val="00EF167E"/>
    <w:rsid w:val="00EF1861"/>
    <w:rsid w:val="00EF19C0"/>
    <w:rsid w:val="00EF19DE"/>
    <w:rsid w:val="00EF1A2D"/>
    <w:rsid w:val="00EF1A6E"/>
    <w:rsid w:val="00EF1A80"/>
    <w:rsid w:val="00EF1C29"/>
    <w:rsid w:val="00EF1EB6"/>
    <w:rsid w:val="00EF2278"/>
    <w:rsid w:val="00EF2295"/>
    <w:rsid w:val="00EF2348"/>
    <w:rsid w:val="00EF244E"/>
    <w:rsid w:val="00EF24F0"/>
    <w:rsid w:val="00EF25C6"/>
    <w:rsid w:val="00EF29E7"/>
    <w:rsid w:val="00EF2A1E"/>
    <w:rsid w:val="00EF2D23"/>
    <w:rsid w:val="00EF2D29"/>
    <w:rsid w:val="00EF2E7A"/>
    <w:rsid w:val="00EF327C"/>
    <w:rsid w:val="00EF398F"/>
    <w:rsid w:val="00EF3E21"/>
    <w:rsid w:val="00EF40FB"/>
    <w:rsid w:val="00EF439D"/>
    <w:rsid w:val="00EF498C"/>
    <w:rsid w:val="00EF4BDE"/>
    <w:rsid w:val="00EF4EA2"/>
    <w:rsid w:val="00EF4EE4"/>
    <w:rsid w:val="00EF52A4"/>
    <w:rsid w:val="00EF534F"/>
    <w:rsid w:val="00EF5552"/>
    <w:rsid w:val="00EF5839"/>
    <w:rsid w:val="00EF5D45"/>
    <w:rsid w:val="00EF5F22"/>
    <w:rsid w:val="00EF60C2"/>
    <w:rsid w:val="00EF6155"/>
    <w:rsid w:val="00EF61EB"/>
    <w:rsid w:val="00EF62EA"/>
    <w:rsid w:val="00EF6519"/>
    <w:rsid w:val="00EF6724"/>
    <w:rsid w:val="00EF686E"/>
    <w:rsid w:val="00EF6943"/>
    <w:rsid w:val="00EF6E46"/>
    <w:rsid w:val="00EF70A0"/>
    <w:rsid w:val="00EF7399"/>
    <w:rsid w:val="00EF74E9"/>
    <w:rsid w:val="00EF7D9F"/>
    <w:rsid w:val="00EF7E78"/>
    <w:rsid w:val="00EF7E8D"/>
    <w:rsid w:val="00EF7F6A"/>
    <w:rsid w:val="00F00001"/>
    <w:rsid w:val="00F00008"/>
    <w:rsid w:val="00F001A5"/>
    <w:rsid w:val="00F00E2B"/>
    <w:rsid w:val="00F00F53"/>
    <w:rsid w:val="00F01554"/>
    <w:rsid w:val="00F01597"/>
    <w:rsid w:val="00F015B3"/>
    <w:rsid w:val="00F016AC"/>
    <w:rsid w:val="00F017F7"/>
    <w:rsid w:val="00F01F60"/>
    <w:rsid w:val="00F01F93"/>
    <w:rsid w:val="00F0213E"/>
    <w:rsid w:val="00F022C9"/>
    <w:rsid w:val="00F022FD"/>
    <w:rsid w:val="00F02467"/>
    <w:rsid w:val="00F02DA6"/>
    <w:rsid w:val="00F02E99"/>
    <w:rsid w:val="00F03242"/>
    <w:rsid w:val="00F03445"/>
    <w:rsid w:val="00F03628"/>
    <w:rsid w:val="00F043A4"/>
    <w:rsid w:val="00F0454E"/>
    <w:rsid w:val="00F0470A"/>
    <w:rsid w:val="00F04799"/>
    <w:rsid w:val="00F04935"/>
    <w:rsid w:val="00F049C3"/>
    <w:rsid w:val="00F04BA7"/>
    <w:rsid w:val="00F04D1B"/>
    <w:rsid w:val="00F04D80"/>
    <w:rsid w:val="00F04E7C"/>
    <w:rsid w:val="00F050D5"/>
    <w:rsid w:val="00F053B1"/>
    <w:rsid w:val="00F0590D"/>
    <w:rsid w:val="00F05A26"/>
    <w:rsid w:val="00F05B39"/>
    <w:rsid w:val="00F05C4A"/>
    <w:rsid w:val="00F05CC7"/>
    <w:rsid w:val="00F05E4A"/>
    <w:rsid w:val="00F05E7A"/>
    <w:rsid w:val="00F06053"/>
    <w:rsid w:val="00F061B1"/>
    <w:rsid w:val="00F06209"/>
    <w:rsid w:val="00F06225"/>
    <w:rsid w:val="00F0623A"/>
    <w:rsid w:val="00F0633E"/>
    <w:rsid w:val="00F066AB"/>
    <w:rsid w:val="00F06789"/>
    <w:rsid w:val="00F06921"/>
    <w:rsid w:val="00F06BAF"/>
    <w:rsid w:val="00F06CC1"/>
    <w:rsid w:val="00F06D99"/>
    <w:rsid w:val="00F073B9"/>
    <w:rsid w:val="00F07627"/>
    <w:rsid w:val="00F07813"/>
    <w:rsid w:val="00F07BC5"/>
    <w:rsid w:val="00F07E15"/>
    <w:rsid w:val="00F100E6"/>
    <w:rsid w:val="00F102A2"/>
    <w:rsid w:val="00F102CF"/>
    <w:rsid w:val="00F1034C"/>
    <w:rsid w:val="00F104B2"/>
    <w:rsid w:val="00F10812"/>
    <w:rsid w:val="00F10AAA"/>
    <w:rsid w:val="00F10E9B"/>
    <w:rsid w:val="00F112B7"/>
    <w:rsid w:val="00F11397"/>
    <w:rsid w:val="00F118F4"/>
    <w:rsid w:val="00F11986"/>
    <w:rsid w:val="00F119AE"/>
    <w:rsid w:val="00F11FDA"/>
    <w:rsid w:val="00F1201C"/>
    <w:rsid w:val="00F1223A"/>
    <w:rsid w:val="00F1224C"/>
    <w:rsid w:val="00F1239E"/>
    <w:rsid w:val="00F12593"/>
    <w:rsid w:val="00F12D67"/>
    <w:rsid w:val="00F130D0"/>
    <w:rsid w:val="00F130E4"/>
    <w:rsid w:val="00F1314C"/>
    <w:rsid w:val="00F131FC"/>
    <w:rsid w:val="00F1321E"/>
    <w:rsid w:val="00F133C3"/>
    <w:rsid w:val="00F13C39"/>
    <w:rsid w:val="00F13D9E"/>
    <w:rsid w:val="00F14067"/>
    <w:rsid w:val="00F14093"/>
    <w:rsid w:val="00F14552"/>
    <w:rsid w:val="00F148D2"/>
    <w:rsid w:val="00F14A0D"/>
    <w:rsid w:val="00F14DB0"/>
    <w:rsid w:val="00F151A7"/>
    <w:rsid w:val="00F152CC"/>
    <w:rsid w:val="00F157A2"/>
    <w:rsid w:val="00F159F4"/>
    <w:rsid w:val="00F15E45"/>
    <w:rsid w:val="00F15FDC"/>
    <w:rsid w:val="00F16032"/>
    <w:rsid w:val="00F16041"/>
    <w:rsid w:val="00F162CD"/>
    <w:rsid w:val="00F16852"/>
    <w:rsid w:val="00F16AEF"/>
    <w:rsid w:val="00F16B67"/>
    <w:rsid w:val="00F16C1B"/>
    <w:rsid w:val="00F16DC0"/>
    <w:rsid w:val="00F16E6F"/>
    <w:rsid w:val="00F17334"/>
    <w:rsid w:val="00F17606"/>
    <w:rsid w:val="00F176C6"/>
    <w:rsid w:val="00F17A10"/>
    <w:rsid w:val="00F20317"/>
    <w:rsid w:val="00F20496"/>
    <w:rsid w:val="00F2086F"/>
    <w:rsid w:val="00F208AE"/>
    <w:rsid w:val="00F20CFE"/>
    <w:rsid w:val="00F20E6E"/>
    <w:rsid w:val="00F20F4A"/>
    <w:rsid w:val="00F2184D"/>
    <w:rsid w:val="00F218C5"/>
    <w:rsid w:val="00F21FCB"/>
    <w:rsid w:val="00F22037"/>
    <w:rsid w:val="00F22584"/>
    <w:rsid w:val="00F22912"/>
    <w:rsid w:val="00F22983"/>
    <w:rsid w:val="00F22B7E"/>
    <w:rsid w:val="00F22D52"/>
    <w:rsid w:val="00F230A1"/>
    <w:rsid w:val="00F23163"/>
    <w:rsid w:val="00F235F9"/>
    <w:rsid w:val="00F23BC0"/>
    <w:rsid w:val="00F23D76"/>
    <w:rsid w:val="00F242E9"/>
    <w:rsid w:val="00F246DF"/>
    <w:rsid w:val="00F24BE1"/>
    <w:rsid w:val="00F250B9"/>
    <w:rsid w:val="00F25BA1"/>
    <w:rsid w:val="00F26212"/>
    <w:rsid w:val="00F26230"/>
    <w:rsid w:val="00F26265"/>
    <w:rsid w:val="00F26707"/>
    <w:rsid w:val="00F268A8"/>
    <w:rsid w:val="00F268D9"/>
    <w:rsid w:val="00F26918"/>
    <w:rsid w:val="00F26D4B"/>
    <w:rsid w:val="00F26D97"/>
    <w:rsid w:val="00F273DC"/>
    <w:rsid w:val="00F2772F"/>
    <w:rsid w:val="00F27943"/>
    <w:rsid w:val="00F279E8"/>
    <w:rsid w:val="00F27B36"/>
    <w:rsid w:val="00F27C55"/>
    <w:rsid w:val="00F27DB1"/>
    <w:rsid w:val="00F27F3B"/>
    <w:rsid w:val="00F3004F"/>
    <w:rsid w:val="00F3027C"/>
    <w:rsid w:val="00F3027E"/>
    <w:rsid w:val="00F3041F"/>
    <w:rsid w:val="00F30886"/>
    <w:rsid w:val="00F30927"/>
    <w:rsid w:val="00F31031"/>
    <w:rsid w:val="00F31037"/>
    <w:rsid w:val="00F3140B"/>
    <w:rsid w:val="00F31C32"/>
    <w:rsid w:val="00F31CB5"/>
    <w:rsid w:val="00F31F4C"/>
    <w:rsid w:val="00F31FD0"/>
    <w:rsid w:val="00F323F0"/>
    <w:rsid w:val="00F3255B"/>
    <w:rsid w:val="00F32597"/>
    <w:rsid w:val="00F32B90"/>
    <w:rsid w:val="00F32D2C"/>
    <w:rsid w:val="00F32F25"/>
    <w:rsid w:val="00F32FF5"/>
    <w:rsid w:val="00F330BB"/>
    <w:rsid w:val="00F33434"/>
    <w:rsid w:val="00F33538"/>
    <w:rsid w:val="00F335F3"/>
    <w:rsid w:val="00F33811"/>
    <w:rsid w:val="00F33871"/>
    <w:rsid w:val="00F33A36"/>
    <w:rsid w:val="00F33B2A"/>
    <w:rsid w:val="00F33B37"/>
    <w:rsid w:val="00F33BFD"/>
    <w:rsid w:val="00F33CDA"/>
    <w:rsid w:val="00F33DC2"/>
    <w:rsid w:val="00F33F24"/>
    <w:rsid w:val="00F3400A"/>
    <w:rsid w:val="00F340FD"/>
    <w:rsid w:val="00F34214"/>
    <w:rsid w:val="00F3427F"/>
    <w:rsid w:val="00F3429B"/>
    <w:rsid w:val="00F342A9"/>
    <w:rsid w:val="00F343FC"/>
    <w:rsid w:val="00F3445E"/>
    <w:rsid w:val="00F34834"/>
    <w:rsid w:val="00F348C7"/>
    <w:rsid w:val="00F34FE9"/>
    <w:rsid w:val="00F35058"/>
    <w:rsid w:val="00F35582"/>
    <w:rsid w:val="00F3560C"/>
    <w:rsid w:val="00F35717"/>
    <w:rsid w:val="00F35AA2"/>
    <w:rsid w:val="00F35AE9"/>
    <w:rsid w:val="00F35C3C"/>
    <w:rsid w:val="00F35CF3"/>
    <w:rsid w:val="00F35EBE"/>
    <w:rsid w:val="00F36620"/>
    <w:rsid w:val="00F36664"/>
    <w:rsid w:val="00F3670B"/>
    <w:rsid w:val="00F3675E"/>
    <w:rsid w:val="00F3682E"/>
    <w:rsid w:val="00F36DEA"/>
    <w:rsid w:val="00F3719F"/>
    <w:rsid w:val="00F37BD8"/>
    <w:rsid w:val="00F37E60"/>
    <w:rsid w:val="00F40113"/>
    <w:rsid w:val="00F40447"/>
    <w:rsid w:val="00F405ED"/>
    <w:rsid w:val="00F40603"/>
    <w:rsid w:val="00F4062A"/>
    <w:rsid w:val="00F40853"/>
    <w:rsid w:val="00F40DB4"/>
    <w:rsid w:val="00F40E83"/>
    <w:rsid w:val="00F40FFC"/>
    <w:rsid w:val="00F41676"/>
    <w:rsid w:val="00F41B4F"/>
    <w:rsid w:val="00F42043"/>
    <w:rsid w:val="00F4218B"/>
    <w:rsid w:val="00F42ADB"/>
    <w:rsid w:val="00F43503"/>
    <w:rsid w:val="00F435C2"/>
    <w:rsid w:val="00F43601"/>
    <w:rsid w:val="00F4373C"/>
    <w:rsid w:val="00F43B83"/>
    <w:rsid w:val="00F43C40"/>
    <w:rsid w:val="00F43C5D"/>
    <w:rsid w:val="00F44085"/>
    <w:rsid w:val="00F441A7"/>
    <w:rsid w:val="00F442AE"/>
    <w:rsid w:val="00F442F3"/>
    <w:rsid w:val="00F44372"/>
    <w:rsid w:val="00F444C7"/>
    <w:rsid w:val="00F44684"/>
    <w:rsid w:val="00F448C5"/>
    <w:rsid w:val="00F44B56"/>
    <w:rsid w:val="00F44CAC"/>
    <w:rsid w:val="00F44D4E"/>
    <w:rsid w:val="00F44EE0"/>
    <w:rsid w:val="00F45159"/>
    <w:rsid w:val="00F4557E"/>
    <w:rsid w:val="00F45799"/>
    <w:rsid w:val="00F458A6"/>
    <w:rsid w:val="00F45A63"/>
    <w:rsid w:val="00F45B0F"/>
    <w:rsid w:val="00F45C39"/>
    <w:rsid w:val="00F45E25"/>
    <w:rsid w:val="00F45F9A"/>
    <w:rsid w:val="00F46150"/>
    <w:rsid w:val="00F46A16"/>
    <w:rsid w:val="00F46D71"/>
    <w:rsid w:val="00F470A5"/>
    <w:rsid w:val="00F47158"/>
    <w:rsid w:val="00F47290"/>
    <w:rsid w:val="00F473A8"/>
    <w:rsid w:val="00F4782D"/>
    <w:rsid w:val="00F47C63"/>
    <w:rsid w:val="00F50178"/>
    <w:rsid w:val="00F5021F"/>
    <w:rsid w:val="00F50C2D"/>
    <w:rsid w:val="00F50F0F"/>
    <w:rsid w:val="00F514EA"/>
    <w:rsid w:val="00F51596"/>
    <w:rsid w:val="00F515B3"/>
    <w:rsid w:val="00F518D1"/>
    <w:rsid w:val="00F51B46"/>
    <w:rsid w:val="00F51BC6"/>
    <w:rsid w:val="00F51C9F"/>
    <w:rsid w:val="00F51DAF"/>
    <w:rsid w:val="00F51F3E"/>
    <w:rsid w:val="00F51F63"/>
    <w:rsid w:val="00F521CA"/>
    <w:rsid w:val="00F521F4"/>
    <w:rsid w:val="00F5247A"/>
    <w:rsid w:val="00F52699"/>
    <w:rsid w:val="00F527CE"/>
    <w:rsid w:val="00F52C4D"/>
    <w:rsid w:val="00F52CD2"/>
    <w:rsid w:val="00F52D62"/>
    <w:rsid w:val="00F52E05"/>
    <w:rsid w:val="00F53235"/>
    <w:rsid w:val="00F53281"/>
    <w:rsid w:val="00F5356D"/>
    <w:rsid w:val="00F53B1D"/>
    <w:rsid w:val="00F53C58"/>
    <w:rsid w:val="00F53CA7"/>
    <w:rsid w:val="00F541F1"/>
    <w:rsid w:val="00F542CB"/>
    <w:rsid w:val="00F5433B"/>
    <w:rsid w:val="00F54496"/>
    <w:rsid w:val="00F5468B"/>
    <w:rsid w:val="00F5470F"/>
    <w:rsid w:val="00F548D9"/>
    <w:rsid w:val="00F549EF"/>
    <w:rsid w:val="00F54AB1"/>
    <w:rsid w:val="00F54ADD"/>
    <w:rsid w:val="00F550FD"/>
    <w:rsid w:val="00F552B9"/>
    <w:rsid w:val="00F55376"/>
    <w:rsid w:val="00F554A9"/>
    <w:rsid w:val="00F55831"/>
    <w:rsid w:val="00F55B08"/>
    <w:rsid w:val="00F55B33"/>
    <w:rsid w:val="00F55D9E"/>
    <w:rsid w:val="00F55E3B"/>
    <w:rsid w:val="00F55FE5"/>
    <w:rsid w:val="00F56031"/>
    <w:rsid w:val="00F562D9"/>
    <w:rsid w:val="00F56338"/>
    <w:rsid w:val="00F563C7"/>
    <w:rsid w:val="00F56653"/>
    <w:rsid w:val="00F5686D"/>
    <w:rsid w:val="00F569A2"/>
    <w:rsid w:val="00F56F60"/>
    <w:rsid w:val="00F56FA0"/>
    <w:rsid w:val="00F5759E"/>
    <w:rsid w:val="00F575D6"/>
    <w:rsid w:val="00F5785D"/>
    <w:rsid w:val="00F57CAE"/>
    <w:rsid w:val="00F57CC9"/>
    <w:rsid w:val="00F57DEE"/>
    <w:rsid w:val="00F57FB6"/>
    <w:rsid w:val="00F6014E"/>
    <w:rsid w:val="00F6022D"/>
    <w:rsid w:val="00F6023D"/>
    <w:rsid w:val="00F60A64"/>
    <w:rsid w:val="00F60AA1"/>
    <w:rsid w:val="00F60B45"/>
    <w:rsid w:val="00F60DD5"/>
    <w:rsid w:val="00F60FB6"/>
    <w:rsid w:val="00F60FCD"/>
    <w:rsid w:val="00F61003"/>
    <w:rsid w:val="00F6154A"/>
    <w:rsid w:val="00F61584"/>
    <w:rsid w:val="00F618FA"/>
    <w:rsid w:val="00F61B2F"/>
    <w:rsid w:val="00F61C2D"/>
    <w:rsid w:val="00F61D0E"/>
    <w:rsid w:val="00F61D86"/>
    <w:rsid w:val="00F61F7D"/>
    <w:rsid w:val="00F61FF0"/>
    <w:rsid w:val="00F62510"/>
    <w:rsid w:val="00F62C6A"/>
    <w:rsid w:val="00F62E2A"/>
    <w:rsid w:val="00F62F38"/>
    <w:rsid w:val="00F630B5"/>
    <w:rsid w:val="00F632DA"/>
    <w:rsid w:val="00F633D0"/>
    <w:rsid w:val="00F635EB"/>
    <w:rsid w:val="00F638B1"/>
    <w:rsid w:val="00F63A61"/>
    <w:rsid w:val="00F63D42"/>
    <w:rsid w:val="00F63E41"/>
    <w:rsid w:val="00F64004"/>
    <w:rsid w:val="00F64067"/>
    <w:rsid w:val="00F64510"/>
    <w:rsid w:val="00F64764"/>
    <w:rsid w:val="00F64D95"/>
    <w:rsid w:val="00F64DFA"/>
    <w:rsid w:val="00F64FFA"/>
    <w:rsid w:val="00F651C3"/>
    <w:rsid w:val="00F65231"/>
    <w:rsid w:val="00F65295"/>
    <w:rsid w:val="00F65399"/>
    <w:rsid w:val="00F653EE"/>
    <w:rsid w:val="00F65509"/>
    <w:rsid w:val="00F656C4"/>
    <w:rsid w:val="00F6586E"/>
    <w:rsid w:val="00F65909"/>
    <w:rsid w:val="00F65CCE"/>
    <w:rsid w:val="00F65E11"/>
    <w:rsid w:val="00F65F3C"/>
    <w:rsid w:val="00F6615C"/>
    <w:rsid w:val="00F666B6"/>
    <w:rsid w:val="00F6677C"/>
    <w:rsid w:val="00F66964"/>
    <w:rsid w:val="00F66998"/>
    <w:rsid w:val="00F66CA5"/>
    <w:rsid w:val="00F675B2"/>
    <w:rsid w:val="00F677C4"/>
    <w:rsid w:val="00F67BCF"/>
    <w:rsid w:val="00F700FD"/>
    <w:rsid w:val="00F7077B"/>
    <w:rsid w:val="00F70CB9"/>
    <w:rsid w:val="00F70CD2"/>
    <w:rsid w:val="00F70E14"/>
    <w:rsid w:val="00F710E2"/>
    <w:rsid w:val="00F712CC"/>
    <w:rsid w:val="00F7175E"/>
    <w:rsid w:val="00F71829"/>
    <w:rsid w:val="00F71B06"/>
    <w:rsid w:val="00F71D5F"/>
    <w:rsid w:val="00F71E58"/>
    <w:rsid w:val="00F71EA5"/>
    <w:rsid w:val="00F71F71"/>
    <w:rsid w:val="00F720B2"/>
    <w:rsid w:val="00F72342"/>
    <w:rsid w:val="00F72690"/>
    <w:rsid w:val="00F729D0"/>
    <w:rsid w:val="00F72BF9"/>
    <w:rsid w:val="00F7308D"/>
    <w:rsid w:val="00F73398"/>
    <w:rsid w:val="00F7354B"/>
    <w:rsid w:val="00F735B4"/>
    <w:rsid w:val="00F73632"/>
    <w:rsid w:val="00F73723"/>
    <w:rsid w:val="00F7374A"/>
    <w:rsid w:val="00F73876"/>
    <w:rsid w:val="00F738E1"/>
    <w:rsid w:val="00F739C8"/>
    <w:rsid w:val="00F740B4"/>
    <w:rsid w:val="00F741F7"/>
    <w:rsid w:val="00F74480"/>
    <w:rsid w:val="00F74497"/>
    <w:rsid w:val="00F74608"/>
    <w:rsid w:val="00F74D01"/>
    <w:rsid w:val="00F7509E"/>
    <w:rsid w:val="00F7526A"/>
    <w:rsid w:val="00F75A65"/>
    <w:rsid w:val="00F75B9A"/>
    <w:rsid w:val="00F75DF9"/>
    <w:rsid w:val="00F75FFB"/>
    <w:rsid w:val="00F760DB"/>
    <w:rsid w:val="00F76328"/>
    <w:rsid w:val="00F763A4"/>
    <w:rsid w:val="00F764AA"/>
    <w:rsid w:val="00F766BA"/>
    <w:rsid w:val="00F7712C"/>
    <w:rsid w:val="00F7720F"/>
    <w:rsid w:val="00F77307"/>
    <w:rsid w:val="00F77395"/>
    <w:rsid w:val="00F77525"/>
    <w:rsid w:val="00F77B3A"/>
    <w:rsid w:val="00F8004A"/>
    <w:rsid w:val="00F800DB"/>
    <w:rsid w:val="00F802A5"/>
    <w:rsid w:val="00F8055B"/>
    <w:rsid w:val="00F80720"/>
    <w:rsid w:val="00F80862"/>
    <w:rsid w:val="00F80D8F"/>
    <w:rsid w:val="00F80DEE"/>
    <w:rsid w:val="00F8137A"/>
    <w:rsid w:val="00F817B0"/>
    <w:rsid w:val="00F819F8"/>
    <w:rsid w:val="00F81A2D"/>
    <w:rsid w:val="00F81BFF"/>
    <w:rsid w:val="00F81F4D"/>
    <w:rsid w:val="00F823E2"/>
    <w:rsid w:val="00F82498"/>
    <w:rsid w:val="00F82530"/>
    <w:rsid w:val="00F827E0"/>
    <w:rsid w:val="00F8289F"/>
    <w:rsid w:val="00F82AD3"/>
    <w:rsid w:val="00F82AE0"/>
    <w:rsid w:val="00F82C7B"/>
    <w:rsid w:val="00F82E02"/>
    <w:rsid w:val="00F82E2C"/>
    <w:rsid w:val="00F835B1"/>
    <w:rsid w:val="00F836DC"/>
    <w:rsid w:val="00F836FF"/>
    <w:rsid w:val="00F83AC0"/>
    <w:rsid w:val="00F83EB4"/>
    <w:rsid w:val="00F83F9C"/>
    <w:rsid w:val="00F84097"/>
    <w:rsid w:val="00F843BA"/>
    <w:rsid w:val="00F84607"/>
    <w:rsid w:val="00F84765"/>
    <w:rsid w:val="00F84C31"/>
    <w:rsid w:val="00F84ED3"/>
    <w:rsid w:val="00F8500D"/>
    <w:rsid w:val="00F8521F"/>
    <w:rsid w:val="00F85268"/>
    <w:rsid w:val="00F85355"/>
    <w:rsid w:val="00F8584F"/>
    <w:rsid w:val="00F8587E"/>
    <w:rsid w:val="00F858FC"/>
    <w:rsid w:val="00F859CC"/>
    <w:rsid w:val="00F85B78"/>
    <w:rsid w:val="00F86AD3"/>
    <w:rsid w:val="00F87421"/>
    <w:rsid w:val="00F87467"/>
    <w:rsid w:val="00F8752A"/>
    <w:rsid w:val="00F8799E"/>
    <w:rsid w:val="00F879B4"/>
    <w:rsid w:val="00F87A59"/>
    <w:rsid w:val="00F87E76"/>
    <w:rsid w:val="00F87F3A"/>
    <w:rsid w:val="00F90141"/>
    <w:rsid w:val="00F902AD"/>
    <w:rsid w:val="00F9035F"/>
    <w:rsid w:val="00F907F5"/>
    <w:rsid w:val="00F90BE3"/>
    <w:rsid w:val="00F90E8D"/>
    <w:rsid w:val="00F9109C"/>
    <w:rsid w:val="00F911C8"/>
    <w:rsid w:val="00F91630"/>
    <w:rsid w:val="00F917EB"/>
    <w:rsid w:val="00F91888"/>
    <w:rsid w:val="00F919D2"/>
    <w:rsid w:val="00F91B89"/>
    <w:rsid w:val="00F91CB7"/>
    <w:rsid w:val="00F91EC8"/>
    <w:rsid w:val="00F921D4"/>
    <w:rsid w:val="00F92286"/>
    <w:rsid w:val="00F923D7"/>
    <w:rsid w:val="00F92571"/>
    <w:rsid w:val="00F92635"/>
    <w:rsid w:val="00F92652"/>
    <w:rsid w:val="00F927D2"/>
    <w:rsid w:val="00F92E4A"/>
    <w:rsid w:val="00F93A6D"/>
    <w:rsid w:val="00F93C57"/>
    <w:rsid w:val="00F93C8C"/>
    <w:rsid w:val="00F9405A"/>
    <w:rsid w:val="00F941F4"/>
    <w:rsid w:val="00F94302"/>
    <w:rsid w:val="00F9431C"/>
    <w:rsid w:val="00F94444"/>
    <w:rsid w:val="00F9452C"/>
    <w:rsid w:val="00F9456A"/>
    <w:rsid w:val="00F94592"/>
    <w:rsid w:val="00F945ED"/>
    <w:rsid w:val="00F94711"/>
    <w:rsid w:val="00F94762"/>
    <w:rsid w:val="00F94A55"/>
    <w:rsid w:val="00F94BDB"/>
    <w:rsid w:val="00F94D29"/>
    <w:rsid w:val="00F94D32"/>
    <w:rsid w:val="00F94DA2"/>
    <w:rsid w:val="00F94EEA"/>
    <w:rsid w:val="00F9505E"/>
    <w:rsid w:val="00F95181"/>
    <w:rsid w:val="00F9519F"/>
    <w:rsid w:val="00F9525F"/>
    <w:rsid w:val="00F95739"/>
    <w:rsid w:val="00F958AC"/>
    <w:rsid w:val="00F95941"/>
    <w:rsid w:val="00F95B6B"/>
    <w:rsid w:val="00F95D53"/>
    <w:rsid w:val="00F95FF9"/>
    <w:rsid w:val="00F96354"/>
    <w:rsid w:val="00F965EA"/>
    <w:rsid w:val="00F9686B"/>
    <w:rsid w:val="00F96999"/>
    <w:rsid w:val="00F969AB"/>
    <w:rsid w:val="00F96B81"/>
    <w:rsid w:val="00F974AD"/>
    <w:rsid w:val="00F97805"/>
    <w:rsid w:val="00F97984"/>
    <w:rsid w:val="00FA00E1"/>
    <w:rsid w:val="00FA03B0"/>
    <w:rsid w:val="00FA042C"/>
    <w:rsid w:val="00FA05C7"/>
    <w:rsid w:val="00FA075C"/>
    <w:rsid w:val="00FA079E"/>
    <w:rsid w:val="00FA0B3D"/>
    <w:rsid w:val="00FA0D26"/>
    <w:rsid w:val="00FA0D6B"/>
    <w:rsid w:val="00FA1023"/>
    <w:rsid w:val="00FA109C"/>
    <w:rsid w:val="00FA12AF"/>
    <w:rsid w:val="00FA14D5"/>
    <w:rsid w:val="00FA1D25"/>
    <w:rsid w:val="00FA1D3A"/>
    <w:rsid w:val="00FA1D95"/>
    <w:rsid w:val="00FA1EFF"/>
    <w:rsid w:val="00FA206D"/>
    <w:rsid w:val="00FA249B"/>
    <w:rsid w:val="00FA2522"/>
    <w:rsid w:val="00FA2543"/>
    <w:rsid w:val="00FA2580"/>
    <w:rsid w:val="00FA26A1"/>
    <w:rsid w:val="00FA27DE"/>
    <w:rsid w:val="00FA2B35"/>
    <w:rsid w:val="00FA2E60"/>
    <w:rsid w:val="00FA2FB1"/>
    <w:rsid w:val="00FA31E9"/>
    <w:rsid w:val="00FA3267"/>
    <w:rsid w:val="00FA329A"/>
    <w:rsid w:val="00FA32ED"/>
    <w:rsid w:val="00FA33F8"/>
    <w:rsid w:val="00FA345E"/>
    <w:rsid w:val="00FA3606"/>
    <w:rsid w:val="00FA37BA"/>
    <w:rsid w:val="00FA381B"/>
    <w:rsid w:val="00FA3899"/>
    <w:rsid w:val="00FA38AD"/>
    <w:rsid w:val="00FA3E5C"/>
    <w:rsid w:val="00FA4093"/>
    <w:rsid w:val="00FA4122"/>
    <w:rsid w:val="00FA421A"/>
    <w:rsid w:val="00FA44EB"/>
    <w:rsid w:val="00FA456B"/>
    <w:rsid w:val="00FA4716"/>
    <w:rsid w:val="00FA47D2"/>
    <w:rsid w:val="00FA4A5D"/>
    <w:rsid w:val="00FA4AA4"/>
    <w:rsid w:val="00FA4B3D"/>
    <w:rsid w:val="00FA4E98"/>
    <w:rsid w:val="00FA5013"/>
    <w:rsid w:val="00FA5599"/>
    <w:rsid w:val="00FA5808"/>
    <w:rsid w:val="00FA5E10"/>
    <w:rsid w:val="00FA5E42"/>
    <w:rsid w:val="00FA616E"/>
    <w:rsid w:val="00FA6196"/>
    <w:rsid w:val="00FA6234"/>
    <w:rsid w:val="00FA63B1"/>
    <w:rsid w:val="00FA6562"/>
    <w:rsid w:val="00FA65A2"/>
    <w:rsid w:val="00FA6657"/>
    <w:rsid w:val="00FA67F6"/>
    <w:rsid w:val="00FA6DB2"/>
    <w:rsid w:val="00FA6EBB"/>
    <w:rsid w:val="00FA6FC1"/>
    <w:rsid w:val="00FA70AA"/>
    <w:rsid w:val="00FA7333"/>
    <w:rsid w:val="00FA7502"/>
    <w:rsid w:val="00FA7ACF"/>
    <w:rsid w:val="00FB0050"/>
    <w:rsid w:val="00FB0170"/>
    <w:rsid w:val="00FB0193"/>
    <w:rsid w:val="00FB0255"/>
    <w:rsid w:val="00FB02D5"/>
    <w:rsid w:val="00FB0417"/>
    <w:rsid w:val="00FB0628"/>
    <w:rsid w:val="00FB0986"/>
    <w:rsid w:val="00FB0E0B"/>
    <w:rsid w:val="00FB105D"/>
    <w:rsid w:val="00FB10E5"/>
    <w:rsid w:val="00FB11F2"/>
    <w:rsid w:val="00FB1279"/>
    <w:rsid w:val="00FB136E"/>
    <w:rsid w:val="00FB1476"/>
    <w:rsid w:val="00FB1583"/>
    <w:rsid w:val="00FB1600"/>
    <w:rsid w:val="00FB18B1"/>
    <w:rsid w:val="00FB208D"/>
    <w:rsid w:val="00FB21D2"/>
    <w:rsid w:val="00FB224A"/>
    <w:rsid w:val="00FB236C"/>
    <w:rsid w:val="00FB277F"/>
    <w:rsid w:val="00FB2982"/>
    <w:rsid w:val="00FB2A01"/>
    <w:rsid w:val="00FB2A17"/>
    <w:rsid w:val="00FB2BF9"/>
    <w:rsid w:val="00FB2C16"/>
    <w:rsid w:val="00FB2C9E"/>
    <w:rsid w:val="00FB2FD7"/>
    <w:rsid w:val="00FB3607"/>
    <w:rsid w:val="00FB3671"/>
    <w:rsid w:val="00FB39C6"/>
    <w:rsid w:val="00FB3A9F"/>
    <w:rsid w:val="00FB3BBC"/>
    <w:rsid w:val="00FB3DEC"/>
    <w:rsid w:val="00FB3EB9"/>
    <w:rsid w:val="00FB45F9"/>
    <w:rsid w:val="00FB479E"/>
    <w:rsid w:val="00FB4A1C"/>
    <w:rsid w:val="00FB4AF7"/>
    <w:rsid w:val="00FB4AFA"/>
    <w:rsid w:val="00FB4C26"/>
    <w:rsid w:val="00FB4DB0"/>
    <w:rsid w:val="00FB567A"/>
    <w:rsid w:val="00FB5BCD"/>
    <w:rsid w:val="00FB5D18"/>
    <w:rsid w:val="00FB5F2A"/>
    <w:rsid w:val="00FB6421"/>
    <w:rsid w:val="00FB66B9"/>
    <w:rsid w:val="00FB6801"/>
    <w:rsid w:val="00FB68E4"/>
    <w:rsid w:val="00FB69C2"/>
    <w:rsid w:val="00FB6C4A"/>
    <w:rsid w:val="00FB6DBC"/>
    <w:rsid w:val="00FB721A"/>
    <w:rsid w:val="00FB762E"/>
    <w:rsid w:val="00FB79E5"/>
    <w:rsid w:val="00FB7A18"/>
    <w:rsid w:val="00FB7B38"/>
    <w:rsid w:val="00FB7C11"/>
    <w:rsid w:val="00FB7D72"/>
    <w:rsid w:val="00FB7F61"/>
    <w:rsid w:val="00FC09C9"/>
    <w:rsid w:val="00FC0E7B"/>
    <w:rsid w:val="00FC1052"/>
    <w:rsid w:val="00FC1203"/>
    <w:rsid w:val="00FC1281"/>
    <w:rsid w:val="00FC13C5"/>
    <w:rsid w:val="00FC152A"/>
    <w:rsid w:val="00FC1847"/>
    <w:rsid w:val="00FC19DC"/>
    <w:rsid w:val="00FC1C24"/>
    <w:rsid w:val="00FC1F69"/>
    <w:rsid w:val="00FC20C5"/>
    <w:rsid w:val="00FC244E"/>
    <w:rsid w:val="00FC25AB"/>
    <w:rsid w:val="00FC27F6"/>
    <w:rsid w:val="00FC2AF7"/>
    <w:rsid w:val="00FC2BBD"/>
    <w:rsid w:val="00FC2D80"/>
    <w:rsid w:val="00FC313B"/>
    <w:rsid w:val="00FC3263"/>
    <w:rsid w:val="00FC3559"/>
    <w:rsid w:val="00FC357F"/>
    <w:rsid w:val="00FC370E"/>
    <w:rsid w:val="00FC3790"/>
    <w:rsid w:val="00FC3B81"/>
    <w:rsid w:val="00FC3D76"/>
    <w:rsid w:val="00FC3EC5"/>
    <w:rsid w:val="00FC42EB"/>
    <w:rsid w:val="00FC4680"/>
    <w:rsid w:val="00FC48DD"/>
    <w:rsid w:val="00FC4D3A"/>
    <w:rsid w:val="00FC4E7B"/>
    <w:rsid w:val="00FC525B"/>
    <w:rsid w:val="00FC56B5"/>
    <w:rsid w:val="00FC5776"/>
    <w:rsid w:val="00FC5A87"/>
    <w:rsid w:val="00FC5C86"/>
    <w:rsid w:val="00FC5CBC"/>
    <w:rsid w:val="00FC5FC2"/>
    <w:rsid w:val="00FC61EF"/>
    <w:rsid w:val="00FC645A"/>
    <w:rsid w:val="00FC65F6"/>
    <w:rsid w:val="00FC688C"/>
    <w:rsid w:val="00FC68F1"/>
    <w:rsid w:val="00FC6978"/>
    <w:rsid w:val="00FC69B7"/>
    <w:rsid w:val="00FC6A87"/>
    <w:rsid w:val="00FC6F0A"/>
    <w:rsid w:val="00FC6F93"/>
    <w:rsid w:val="00FC739A"/>
    <w:rsid w:val="00FC73FB"/>
    <w:rsid w:val="00FC7641"/>
    <w:rsid w:val="00FC7794"/>
    <w:rsid w:val="00FC7E4F"/>
    <w:rsid w:val="00FC7FD3"/>
    <w:rsid w:val="00FD00F0"/>
    <w:rsid w:val="00FD011B"/>
    <w:rsid w:val="00FD0347"/>
    <w:rsid w:val="00FD06BD"/>
    <w:rsid w:val="00FD0B5E"/>
    <w:rsid w:val="00FD0C9F"/>
    <w:rsid w:val="00FD0FE2"/>
    <w:rsid w:val="00FD1021"/>
    <w:rsid w:val="00FD109E"/>
    <w:rsid w:val="00FD11EF"/>
    <w:rsid w:val="00FD13D9"/>
    <w:rsid w:val="00FD151E"/>
    <w:rsid w:val="00FD16E1"/>
    <w:rsid w:val="00FD1B16"/>
    <w:rsid w:val="00FD1BA5"/>
    <w:rsid w:val="00FD1BBA"/>
    <w:rsid w:val="00FD1BF0"/>
    <w:rsid w:val="00FD1C90"/>
    <w:rsid w:val="00FD1EF7"/>
    <w:rsid w:val="00FD1F4C"/>
    <w:rsid w:val="00FD2025"/>
    <w:rsid w:val="00FD206D"/>
    <w:rsid w:val="00FD2278"/>
    <w:rsid w:val="00FD230E"/>
    <w:rsid w:val="00FD23D4"/>
    <w:rsid w:val="00FD2467"/>
    <w:rsid w:val="00FD262B"/>
    <w:rsid w:val="00FD279C"/>
    <w:rsid w:val="00FD2811"/>
    <w:rsid w:val="00FD2911"/>
    <w:rsid w:val="00FD2945"/>
    <w:rsid w:val="00FD2FD2"/>
    <w:rsid w:val="00FD322F"/>
    <w:rsid w:val="00FD3469"/>
    <w:rsid w:val="00FD39C9"/>
    <w:rsid w:val="00FD40B0"/>
    <w:rsid w:val="00FD4211"/>
    <w:rsid w:val="00FD46C5"/>
    <w:rsid w:val="00FD49BF"/>
    <w:rsid w:val="00FD4ADA"/>
    <w:rsid w:val="00FD4DA7"/>
    <w:rsid w:val="00FD4EB0"/>
    <w:rsid w:val="00FD514D"/>
    <w:rsid w:val="00FD5436"/>
    <w:rsid w:val="00FD5566"/>
    <w:rsid w:val="00FD57C5"/>
    <w:rsid w:val="00FD5CDA"/>
    <w:rsid w:val="00FD5D4C"/>
    <w:rsid w:val="00FD607E"/>
    <w:rsid w:val="00FD613E"/>
    <w:rsid w:val="00FD633A"/>
    <w:rsid w:val="00FD644F"/>
    <w:rsid w:val="00FD689B"/>
    <w:rsid w:val="00FD68B3"/>
    <w:rsid w:val="00FD6967"/>
    <w:rsid w:val="00FD6BC3"/>
    <w:rsid w:val="00FD6C65"/>
    <w:rsid w:val="00FD6F5A"/>
    <w:rsid w:val="00FD6FCA"/>
    <w:rsid w:val="00FD70F8"/>
    <w:rsid w:val="00FD71D5"/>
    <w:rsid w:val="00FD7203"/>
    <w:rsid w:val="00FD768B"/>
    <w:rsid w:val="00FD776B"/>
    <w:rsid w:val="00FD78A2"/>
    <w:rsid w:val="00FD7957"/>
    <w:rsid w:val="00FD79F8"/>
    <w:rsid w:val="00FD7A08"/>
    <w:rsid w:val="00FD7A20"/>
    <w:rsid w:val="00FD7B96"/>
    <w:rsid w:val="00FD7DCA"/>
    <w:rsid w:val="00FE0083"/>
    <w:rsid w:val="00FE0179"/>
    <w:rsid w:val="00FE02F6"/>
    <w:rsid w:val="00FE05FB"/>
    <w:rsid w:val="00FE0EA3"/>
    <w:rsid w:val="00FE0FF2"/>
    <w:rsid w:val="00FE1315"/>
    <w:rsid w:val="00FE18D0"/>
    <w:rsid w:val="00FE1C5B"/>
    <w:rsid w:val="00FE1ED1"/>
    <w:rsid w:val="00FE1F21"/>
    <w:rsid w:val="00FE2012"/>
    <w:rsid w:val="00FE2016"/>
    <w:rsid w:val="00FE21F4"/>
    <w:rsid w:val="00FE2316"/>
    <w:rsid w:val="00FE2329"/>
    <w:rsid w:val="00FE2B7B"/>
    <w:rsid w:val="00FE2BD6"/>
    <w:rsid w:val="00FE2EFB"/>
    <w:rsid w:val="00FE2F63"/>
    <w:rsid w:val="00FE2F84"/>
    <w:rsid w:val="00FE345F"/>
    <w:rsid w:val="00FE3749"/>
    <w:rsid w:val="00FE37EB"/>
    <w:rsid w:val="00FE3AA8"/>
    <w:rsid w:val="00FE3B76"/>
    <w:rsid w:val="00FE3D7F"/>
    <w:rsid w:val="00FE3E8A"/>
    <w:rsid w:val="00FE43D9"/>
    <w:rsid w:val="00FE485F"/>
    <w:rsid w:val="00FE4A4D"/>
    <w:rsid w:val="00FE4B16"/>
    <w:rsid w:val="00FE4E73"/>
    <w:rsid w:val="00FE4FBF"/>
    <w:rsid w:val="00FE530D"/>
    <w:rsid w:val="00FE56CE"/>
    <w:rsid w:val="00FE5825"/>
    <w:rsid w:val="00FE593B"/>
    <w:rsid w:val="00FE593F"/>
    <w:rsid w:val="00FE5977"/>
    <w:rsid w:val="00FE60CD"/>
    <w:rsid w:val="00FE61B3"/>
    <w:rsid w:val="00FE649B"/>
    <w:rsid w:val="00FE64FB"/>
    <w:rsid w:val="00FE66F1"/>
    <w:rsid w:val="00FE690D"/>
    <w:rsid w:val="00FE6DA1"/>
    <w:rsid w:val="00FE6EFC"/>
    <w:rsid w:val="00FE7368"/>
    <w:rsid w:val="00FE73E7"/>
    <w:rsid w:val="00FE764A"/>
    <w:rsid w:val="00FE7A01"/>
    <w:rsid w:val="00FE7B91"/>
    <w:rsid w:val="00FE7CA9"/>
    <w:rsid w:val="00FF033D"/>
    <w:rsid w:val="00FF060F"/>
    <w:rsid w:val="00FF092C"/>
    <w:rsid w:val="00FF0DB9"/>
    <w:rsid w:val="00FF0DD0"/>
    <w:rsid w:val="00FF0EBF"/>
    <w:rsid w:val="00FF0FA5"/>
    <w:rsid w:val="00FF0FD2"/>
    <w:rsid w:val="00FF1077"/>
    <w:rsid w:val="00FF126C"/>
    <w:rsid w:val="00FF13F9"/>
    <w:rsid w:val="00FF1895"/>
    <w:rsid w:val="00FF1AEC"/>
    <w:rsid w:val="00FF1D27"/>
    <w:rsid w:val="00FF1DEB"/>
    <w:rsid w:val="00FF2143"/>
    <w:rsid w:val="00FF2297"/>
    <w:rsid w:val="00FF2675"/>
    <w:rsid w:val="00FF2709"/>
    <w:rsid w:val="00FF276C"/>
    <w:rsid w:val="00FF2779"/>
    <w:rsid w:val="00FF28E1"/>
    <w:rsid w:val="00FF2A02"/>
    <w:rsid w:val="00FF2C63"/>
    <w:rsid w:val="00FF3100"/>
    <w:rsid w:val="00FF3362"/>
    <w:rsid w:val="00FF3419"/>
    <w:rsid w:val="00FF37B7"/>
    <w:rsid w:val="00FF3831"/>
    <w:rsid w:val="00FF3A21"/>
    <w:rsid w:val="00FF3E11"/>
    <w:rsid w:val="00FF3E84"/>
    <w:rsid w:val="00FF3F02"/>
    <w:rsid w:val="00FF41AF"/>
    <w:rsid w:val="00FF4261"/>
    <w:rsid w:val="00FF437B"/>
    <w:rsid w:val="00FF4A9D"/>
    <w:rsid w:val="00FF4F89"/>
    <w:rsid w:val="00FF50B4"/>
    <w:rsid w:val="00FF511D"/>
    <w:rsid w:val="00FF5206"/>
    <w:rsid w:val="00FF5550"/>
    <w:rsid w:val="00FF5798"/>
    <w:rsid w:val="00FF58E4"/>
    <w:rsid w:val="00FF5C5F"/>
    <w:rsid w:val="00FF6190"/>
    <w:rsid w:val="00FF62F9"/>
    <w:rsid w:val="00FF6348"/>
    <w:rsid w:val="00FF6786"/>
    <w:rsid w:val="00FF67C5"/>
    <w:rsid w:val="00FF6B45"/>
    <w:rsid w:val="00FF6B7A"/>
    <w:rsid w:val="00FF6BD0"/>
    <w:rsid w:val="00FF6C6A"/>
    <w:rsid w:val="00FF6C70"/>
    <w:rsid w:val="00FF6F3F"/>
    <w:rsid w:val="00FF70B4"/>
    <w:rsid w:val="00FF7A3F"/>
    <w:rsid w:val="00FF7C7D"/>
    <w:rsid w:val="00FF7F18"/>
    <w:rsid w:val="00FF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232C8"/>
  <w15:chartTrackingRefBased/>
  <w15:docId w15:val="{788507A1-A763-4FFE-B36B-25D5DEE5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24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1ED"/>
    <w:rPr>
      <w:sz w:val="24"/>
      <w:lang w:eastAsia="en-US"/>
    </w:rPr>
  </w:style>
  <w:style w:type="paragraph" w:styleId="Heading1">
    <w:name w:val="heading 1"/>
    <w:aliases w:val="Heading 1 tax"/>
    <w:basedOn w:val="Normal"/>
    <w:next w:val="Bodytexttax1"/>
    <w:link w:val="Heading1Char"/>
    <w:qFormat/>
    <w:pPr>
      <w:keepNext/>
      <w:spacing w:before="240" w:after="60"/>
      <w:outlineLvl w:val="0"/>
    </w:pPr>
    <w:rPr>
      <w:b/>
    </w:rPr>
  </w:style>
  <w:style w:type="paragraph" w:styleId="Heading2">
    <w:name w:val="heading 2"/>
    <w:aliases w:val="Heading 2 tax"/>
    <w:basedOn w:val="Normal"/>
    <w:next w:val="Bodytexttax1"/>
    <w:link w:val="Heading2Char"/>
    <w:qFormat/>
    <w:rsid w:val="008313FB"/>
    <w:pPr>
      <w:keepNext/>
      <w:spacing w:before="240" w:after="60"/>
      <w:outlineLvl w:val="1"/>
    </w:pPr>
    <w:rPr>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tabs>
        <w:tab w:val="center" w:pos="4050"/>
        <w:tab w:val="right" w:pos="5760"/>
        <w:tab w:val="right" w:pos="8190"/>
      </w:tabs>
      <w:ind w:right="793"/>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tax2">
    <w:name w:val="Body text tax 2"/>
    <w:basedOn w:val="Normal"/>
    <w:rsid w:val="007B7DB7"/>
    <w:pPr>
      <w:numPr>
        <w:ilvl w:val="1"/>
        <w:numId w:val="1"/>
      </w:numPr>
      <w:tabs>
        <w:tab w:val="left" w:pos="992"/>
      </w:tabs>
      <w:spacing w:after="120"/>
    </w:pPr>
  </w:style>
  <w:style w:type="paragraph" w:customStyle="1" w:styleId="Bodytexttax3">
    <w:name w:val="Body text tax 3"/>
    <w:basedOn w:val="Normal"/>
    <w:next w:val="Bodytexttax1"/>
    <w:rsid w:val="005E33E2"/>
  </w:style>
  <w:style w:type="paragraph" w:customStyle="1" w:styleId="Bodytexttaxindent">
    <w:name w:val="Body text tax indent"/>
    <w:basedOn w:val="Normal"/>
    <w:link w:val="BodytexttaxindentChar"/>
    <w:rsid w:val="001B7466"/>
    <w:pPr>
      <w:spacing w:after="120"/>
      <w:ind w:left="1440" w:right="567"/>
    </w:pPr>
    <w:rPr>
      <w:sz w:val="22"/>
    </w:rPr>
  </w:style>
  <w:style w:type="paragraph" w:customStyle="1" w:styleId="Bodytexttax4">
    <w:name w:val="Body text tax 4"/>
    <w:basedOn w:val="j4"/>
    <w:rsid w:val="002244A7"/>
    <w:pPr>
      <w:numPr>
        <w:ilvl w:val="2"/>
        <w:numId w:val="1"/>
      </w:numPr>
      <w:tabs>
        <w:tab w:val="left" w:pos="1559"/>
      </w:tabs>
    </w:pPr>
  </w:style>
  <w:style w:type="character" w:styleId="FootnoteReference">
    <w:name w:val="footnote reference"/>
    <w:uiPriority w:val="99"/>
    <w:semiHidden/>
    <w:rPr>
      <w:sz w:val="20"/>
      <w:vertAlign w:val="superscript"/>
    </w:rPr>
  </w:style>
  <w:style w:type="paragraph" w:styleId="FootnoteText">
    <w:name w:val="footnote text"/>
    <w:basedOn w:val="Normal"/>
    <w:link w:val="FootnoteTextChar"/>
    <w:uiPriority w:val="99"/>
    <w:semiHidden/>
    <w:pPr>
      <w:spacing w:before="120"/>
      <w:ind w:firstLine="720"/>
    </w:pPr>
    <w:rPr>
      <w:sz w:val="20"/>
    </w:rPr>
  </w:style>
  <w:style w:type="character" w:styleId="LineNumber">
    <w:name w:val="line number"/>
    <w:rPr>
      <w:sz w:val="20"/>
    </w:rPr>
  </w:style>
  <w:style w:type="character" w:styleId="PageNumber">
    <w:name w:val="page number"/>
    <w:basedOn w:val="DefaultParagraphFont"/>
  </w:style>
  <w:style w:type="paragraph" w:customStyle="1" w:styleId="j4">
    <w:name w:val="j4"/>
    <w:basedOn w:val="Normal"/>
    <w:rsid w:val="00CC638C"/>
    <w:pPr>
      <w:spacing w:after="120"/>
    </w:pPr>
  </w:style>
  <w:style w:type="paragraph" w:styleId="ListParagraph">
    <w:name w:val="List Paragraph"/>
    <w:basedOn w:val="Normal"/>
    <w:uiPriority w:val="34"/>
    <w:qFormat/>
    <w:rsid w:val="00843D91"/>
    <w:pPr>
      <w:ind w:left="720"/>
    </w:pPr>
  </w:style>
  <w:style w:type="paragraph" w:styleId="Caption">
    <w:name w:val="caption"/>
    <w:basedOn w:val="Normal"/>
    <w:next w:val="Normal"/>
    <w:qFormat/>
    <w:rsid w:val="005E33E2"/>
    <w:pPr>
      <w:tabs>
        <w:tab w:val="center" w:pos="4513"/>
        <w:tab w:val="right" w:pos="10530"/>
      </w:tabs>
      <w:suppressAutoHyphens/>
      <w:overflowPunct w:val="0"/>
      <w:autoSpaceDE w:val="0"/>
      <w:autoSpaceDN w:val="0"/>
      <w:adjustRightInd w:val="0"/>
      <w:textAlignment w:val="baseline"/>
    </w:pPr>
    <w:rPr>
      <w:rFonts w:ascii="Arial" w:hAnsi="Arial"/>
      <w:b/>
      <w:spacing w:val="-2"/>
      <w:sz w:val="26"/>
      <w:lang w:eastAsia="en-GB"/>
    </w:rPr>
  </w:style>
  <w:style w:type="paragraph" w:customStyle="1" w:styleId="Bodytexttax1">
    <w:name w:val="Body text tax 1"/>
    <w:basedOn w:val="Normal"/>
    <w:rsid w:val="007B7DB7"/>
    <w:pPr>
      <w:numPr>
        <w:numId w:val="1"/>
      </w:numPr>
      <w:tabs>
        <w:tab w:val="left" w:pos="425"/>
      </w:tabs>
    </w:pPr>
  </w:style>
  <w:style w:type="character" w:styleId="Emphasis">
    <w:name w:val="Emphasis"/>
    <w:uiPriority w:val="20"/>
    <w:qFormat/>
    <w:rsid w:val="00A4070F"/>
    <w:rPr>
      <w:i/>
      <w:iCs/>
    </w:rPr>
  </w:style>
  <w:style w:type="character" w:styleId="Hyperlink">
    <w:name w:val="Hyperlink"/>
    <w:uiPriority w:val="99"/>
    <w:unhideWhenUsed/>
    <w:rsid w:val="00A4070F"/>
    <w:rPr>
      <w:color w:val="0000FF"/>
      <w:u w:val="single"/>
    </w:rPr>
  </w:style>
  <w:style w:type="paragraph" w:styleId="NoSpacing">
    <w:name w:val="No Spacing"/>
    <w:basedOn w:val="Normal"/>
    <w:uiPriority w:val="1"/>
    <w:qFormat/>
    <w:rsid w:val="009C291C"/>
    <w:pPr>
      <w:ind w:firstLine="284"/>
    </w:pPr>
    <w:rPr>
      <w:rFonts w:ascii="Calibri" w:eastAsia="Calibri" w:hAnsi="Calibri"/>
      <w:sz w:val="22"/>
      <w:szCs w:val="22"/>
    </w:rPr>
  </w:style>
  <w:style w:type="paragraph" w:styleId="BalloonText">
    <w:name w:val="Balloon Text"/>
    <w:basedOn w:val="Normal"/>
    <w:link w:val="BalloonTextChar"/>
    <w:uiPriority w:val="99"/>
    <w:rsid w:val="00354788"/>
    <w:rPr>
      <w:rFonts w:ascii="Segoe UI" w:hAnsi="Segoe UI" w:cs="Segoe UI"/>
      <w:sz w:val="18"/>
      <w:szCs w:val="18"/>
    </w:rPr>
  </w:style>
  <w:style w:type="character" w:customStyle="1" w:styleId="BalloonTextChar">
    <w:name w:val="Balloon Text Char"/>
    <w:link w:val="BalloonText"/>
    <w:uiPriority w:val="99"/>
    <w:rsid w:val="00354788"/>
    <w:rPr>
      <w:rFonts w:ascii="Segoe UI" w:hAnsi="Segoe UI" w:cs="Segoe UI"/>
      <w:sz w:val="18"/>
      <w:szCs w:val="18"/>
      <w:lang w:eastAsia="en-US"/>
    </w:rPr>
  </w:style>
  <w:style w:type="paragraph" w:styleId="EndnoteText">
    <w:name w:val="endnote text"/>
    <w:basedOn w:val="Normal"/>
    <w:link w:val="EndnoteTextChar"/>
    <w:rsid w:val="00681103"/>
    <w:rPr>
      <w:sz w:val="20"/>
    </w:rPr>
  </w:style>
  <w:style w:type="character" w:customStyle="1" w:styleId="EndnoteTextChar">
    <w:name w:val="Endnote Text Char"/>
    <w:link w:val="EndnoteText"/>
    <w:rsid w:val="00681103"/>
    <w:rPr>
      <w:lang w:eastAsia="en-US"/>
    </w:rPr>
  </w:style>
  <w:style w:type="character" w:styleId="EndnoteReference">
    <w:name w:val="endnote reference"/>
    <w:rsid w:val="00681103"/>
    <w:rPr>
      <w:vertAlign w:val="superscript"/>
    </w:rPr>
  </w:style>
  <w:style w:type="character" w:customStyle="1" w:styleId="BodytexttaxindentChar">
    <w:name w:val="Body text tax indent Char"/>
    <w:link w:val="Bodytexttaxindent"/>
    <w:rsid w:val="00AF022F"/>
    <w:rPr>
      <w:sz w:val="22"/>
      <w:lang w:eastAsia="en-US"/>
    </w:rPr>
  </w:style>
  <w:style w:type="table" w:styleId="TableGrid">
    <w:name w:val="Table Grid"/>
    <w:basedOn w:val="TableNormal"/>
    <w:rsid w:val="00C6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4D76"/>
    <w:pPr>
      <w:tabs>
        <w:tab w:val="center" w:pos="4513"/>
        <w:tab w:val="right" w:pos="9026"/>
      </w:tabs>
    </w:pPr>
  </w:style>
  <w:style w:type="character" w:customStyle="1" w:styleId="HeaderChar">
    <w:name w:val="Header Char"/>
    <w:basedOn w:val="DefaultParagraphFont"/>
    <w:link w:val="Header"/>
    <w:uiPriority w:val="99"/>
    <w:rsid w:val="00B94D76"/>
    <w:rPr>
      <w:sz w:val="24"/>
      <w:lang w:eastAsia="en-US"/>
    </w:rPr>
  </w:style>
  <w:style w:type="paragraph" w:styleId="Footer">
    <w:name w:val="footer"/>
    <w:basedOn w:val="Normal"/>
    <w:link w:val="FooterChar"/>
    <w:uiPriority w:val="99"/>
    <w:rsid w:val="00B94D76"/>
    <w:pPr>
      <w:tabs>
        <w:tab w:val="center" w:pos="4513"/>
        <w:tab w:val="right" w:pos="9026"/>
      </w:tabs>
    </w:pPr>
  </w:style>
  <w:style w:type="character" w:customStyle="1" w:styleId="FooterChar">
    <w:name w:val="Footer Char"/>
    <w:basedOn w:val="DefaultParagraphFont"/>
    <w:link w:val="Footer"/>
    <w:uiPriority w:val="99"/>
    <w:rsid w:val="00B94D76"/>
    <w:rPr>
      <w:sz w:val="24"/>
      <w:lang w:eastAsia="en-US"/>
    </w:rPr>
  </w:style>
  <w:style w:type="character" w:customStyle="1" w:styleId="FootnoteTextChar">
    <w:name w:val="Footnote Text Char"/>
    <w:basedOn w:val="DefaultParagraphFont"/>
    <w:link w:val="FootnoteText"/>
    <w:uiPriority w:val="99"/>
    <w:semiHidden/>
    <w:rsid w:val="00E52168"/>
    <w:rPr>
      <w:lang w:eastAsia="en-US"/>
    </w:rPr>
  </w:style>
  <w:style w:type="paragraph" w:styleId="Revision">
    <w:name w:val="Revision"/>
    <w:hidden/>
    <w:uiPriority w:val="99"/>
    <w:semiHidden/>
    <w:rsid w:val="001A1254"/>
    <w:rPr>
      <w:sz w:val="24"/>
      <w:lang w:eastAsia="en-US"/>
    </w:rPr>
  </w:style>
  <w:style w:type="paragraph" w:customStyle="1" w:styleId="indent1">
    <w:name w:val="indent1"/>
    <w:basedOn w:val="Normal"/>
    <w:rsid w:val="00F5356D"/>
    <w:pPr>
      <w:spacing w:before="100" w:beforeAutospacing="1" w:after="100" w:afterAutospacing="1"/>
    </w:pPr>
    <w:rPr>
      <w:szCs w:val="24"/>
      <w:lang w:eastAsia="en-GB"/>
    </w:rPr>
  </w:style>
  <w:style w:type="paragraph" w:styleId="NormalWeb">
    <w:name w:val="Normal (Web)"/>
    <w:basedOn w:val="Normal"/>
    <w:uiPriority w:val="99"/>
    <w:unhideWhenUsed/>
    <w:rsid w:val="00F5356D"/>
    <w:pPr>
      <w:spacing w:before="100" w:beforeAutospacing="1" w:after="100" w:afterAutospacing="1"/>
    </w:pPr>
    <w:rPr>
      <w:szCs w:val="24"/>
      <w:lang w:eastAsia="en-GB"/>
    </w:rPr>
  </w:style>
  <w:style w:type="character" w:styleId="CommentReference">
    <w:name w:val="annotation reference"/>
    <w:basedOn w:val="DefaultParagraphFont"/>
    <w:uiPriority w:val="99"/>
    <w:rsid w:val="00EB1B75"/>
    <w:rPr>
      <w:sz w:val="16"/>
      <w:szCs w:val="16"/>
    </w:rPr>
  </w:style>
  <w:style w:type="paragraph" w:styleId="CommentText">
    <w:name w:val="annotation text"/>
    <w:basedOn w:val="Normal"/>
    <w:link w:val="CommentTextChar"/>
    <w:uiPriority w:val="99"/>
    <w:rsid w:val="00EB1B75"/>
    <w:rPr>
      <w:sz w:val="20"/>
    </w:rPr>
  </w:style>
  <w:style w:type="character" w:customStyle="1" w:styleId="CommentTextChar">
    <w:name w:val="Comment Text Char"/>
    <w:basedOn w:val="DefaultParagraphFont"/>
    <w:link w:val="CommentText"/>
    <w:uiPriority w:val="99"/>
    <w:rsid w:val="00EB1B75"/>
    <w:rPr>
      <w:lang w:eastAsia="en-US"/>
    </w:rPr>
  </w:style>
  <w:style w:type="paragraph" w:styleId="CommentSubject">
    <w:name w:val="annotation subject"/>
    <w:basedOn w:val="CommentText"/>
    <w:next w:val="CommentText"/>
    <w:link w:val="CommentSubjectChar"/>
    <w:uiPriority w:val="99"/>
    <w:rsid w:val="00EB1B75"/>
    <w:rPr>
      <w:b/>
      <w:bCs/>
    </w:rPr>
  </w:style>
  <w:style w:type="character" w:customStyle="1" w:styleId="CommentSubjectChar">
    <w:name w:val="Comment Subject Char"/>
    <w:basedOn w:val="CommentTextChar"/>
    <w:link w:val="CommentSubject"/>
    <w:uiPriority w:val="99"/>
    <w:rsid w:val="00EB1B75"/>
    <w:rPr>
      <w:b/>
      <w:bCs/>
      <w:lang w:eastAsia="en-US"/>
    </w:rPr>
  </w:style>
  <w:style w:type="character" w:customStyle="1" w:styleId="Heading2Char">
    <w:name w:val="Heading 2 Char"/>
    <w:aliases w:val="Heading 2 tax Char"/>
    <w:basedOn w:val="DefaultParagraphFont"/>
    <w:link w:val="Heading2"/>
    <w:rsid w:val="009C7A60"/>
    <w:rPr>
      <w:i/>
      <w:sz w:val="24"/>
      <w:lang w:eastAsia="en-US"/>
    </w:rPr>
  </w:style>
  <w:style w:type="character" w:customStyle="1" w:styleId="Heading1Char">
    <w:name w:val="Heading 1 Char"/>
    <w:aliases w:val="Heading 1 tax Char"/>
    <w:basedOn w:val="DefaultParagraphFont"/>
    <w:link w:val="Heading1"/>
    <w:rsid w:val="00262E6E"/>
    <w:rPr>
      <w:b/>
      <w:sz w:val="24"/>
      <w:lang w:eastAsia="en-US"/>
    </w:rPr>
  </w:style>
  <w:style w:type="paragraph" w:customStyle="1" w:styleId="Default">
    <w:name w:val="Default"/>
    <w:rsid w:val="00475C8A"/>
    <w:pPr>
      <w:autoSpaceDE w:val="0"/>
      <w:autoSpaceDN w:val="0"/>
      <w:adjustRightInd w:val="0"/>
    </w:pPr>
    <w:rPr>
      <w:rFonts w:eastAsia="Calibri"/>
      <w:color w:val="000000"/>
      <w:sz w:val="24"/>
      <w:szCs w:val="24"/>
    </w:rPr>
  </w:style>
  <w:style w:type="table" w:customStyle="1" w:styleId="TableGrid1">
    <w:name w:val="Table Grid1"/>
    <w:basedOn w:val="TableNormal"/>
    <w:next w:val="TableGrid"/>
    <w:rsid w:val="006B219B"/>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C71ED"/>
    <w:pPr>
      <w:spacing w:after="120"/>
      <w:ind w:left="283"/>
    </w:pPr>
  </w:style>
  <w:style w:type="character" w:customStyle="1" w:styleId="BodyTextIndentChar">
    <w:name w:val="Body Text Indent Char"/>
    <w:basedOn w:val="DefaultParagraphFont"/>
    <w:link w:val="BodyTextIndent"/>
    <w:rsid w:val="008C71ED"/>
    <w:rPr>
      <w:sz w:val="24"/>
      <w:lang w:eastAsia="en-US"/>
    </w:rPr>
  </w:style>
  <w:style w:type="paragraph" w:styleId="BodyText2">
    <w:name w:val="Body Text 2"/>
    <w:basedOn w:val="Normal"/>
    <w:link w:val="BodyText2Char"/>
    <w:rsid w:val="00874550"/>
    <w:pPr>
      <w:spacing w:after="120" w:line="480" w:lineRule="auto"/>
    </w:pPr>
  </w:style>
  <w:style w:type="character" w:customStyle="1" w:styleId="BodyText2Char">
    <w:name w:val="Body Text 2 Char"/>
    <w:basedOn w:val="DefaultParagraphFont"/>
    <w:link w:val="BodyText2"/>
    <w:rsid w:val="00874550"/>
    <w:rPr>
      <w:sz w:val="24"/>
      <w:lang w:eastAsia="en-US"/>
    </w:rPr>
  </w:style>
  <w:style w:type="paragraph" w:styleId="BodyTextIndent3">
    <w:name w:val="Body Text Indent 3"/>
    <w:basedOn w:val="Normal"/>
    <w:link w:val="BodyTextIndent3Char"/>
    <w:rsid w:val="0027630B"/>
    <w:pPr>
      <w:spacing w:after="120"/>
      <w:ind w:left="283"/>
    </w:pPr>
    <w:rPr>
      <w:sz w:val="16"/>
      <w:szCs w:val="16"/>
    </w:rPr>
  </w:style>
  <w:style w:type="character" w:customStyle="1" w:styleId="BodyTextIndent3Char">
    <w:name w:val="Body Text Indent 3 Char"/>
    <w:basedOn w:val="DefaultParagraphFont"/>
    <w:link w:val="BodyTextIndent3"/>
    <w:rsid w:val="0027630B"/>
    <w:rPr>
      <w:sz w:val="16"/>
      <w:szCs w:val="16"/>
      <w:lang w:eastAsia="en-US"/>
    </w:rPr>
  </w:style>
  <w:style w:type="character" w:customStyle="1" w:styleId="UnresolvedMention1">
    <w:name w:val="Unresolved Mention1"/>
    <w:basedOn w:val="DefaultParagraphFont"/>
    <w:uiPriority w:val="99"/>
    <w:semiHidden/>
    <w:unhideWhenUsed/>
    <w:rsid w:val="008E4059"/>
    <w:rPr>
      <w:color w:val="605E5C"/>
      <w:shd w:val="clear" w:color="auto" w:fill="E1DFDD"/>
    </w:rPr>
  </w:style>
  <w:style w:type="paragraph" w:styleId="BodyTextIndent2">
    <w:name w:val="Body Text Indent 2"/>
    <w:basedOn w:val="Normal"/>
    <w:link w:val="BodyTextIndent2Char"/>
    <w:rsid w:val="0037123E"/>
    <w:pPr>
      <w:spacing w:after="120" w:line="480" w:lineRule="auto"/>
      <w:ind w:left="283"/>
    </w:pPr>
  </w:style>
  <w:style w:type="character" w:customStyle="1" w:styleId="BodyTextIndent2Char">
    <w:name w:val="Body Text Indent 2 Char"/>
    <w:basedOn w:val="DefaultParagraphFont"/>
    <w:link w:val="BodyTextIndent2"/>
    <w:rsid w:val="0037123E"/>
    <w:rPr>
      <w:sz w:val="24"/>
      <w:lang w:eastAsia="en-US"/>
    </w:rPr>
  </w:style>
  <w:style w:type="paragraph" w:styleId="BodyText">
    <w:name w:val="Body Text"/>
    <w:basedOn w:val="Normal"/>
    <w:link w:val="BodyTextChar"/>
    <w:rsid w:val="008A340F"/>
    <w:pPr>
      <w:spacing w:after="120"/>
    </w:pPr>
  </w:style>
  <w:style w:type="character" w:customStyle="1" w:styleId="BodyTextChar">
    <w:name w:val="Body Text Char"/>
    <w:basedOn w:val="DefaultParagraphFont"/>
    <w:link w:val="BodyText"/>
    <w:rsid w:val="008A340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6598">
      <w:bodyDiv w:val="1"/>
      <w:marLeft w:val="0"/>
      <w:marRight w:val="0"/>
      <w:marTop w:val="0"/>
      <w:marBottom w:val="0"/>
      <w:divBdr>
        <w:top w:val="none" w:sz="0" w:space="0" w:color="auto"/>
        <w:left w:val="none" w:sz="0" w:space="0" w:color="auto"/>
        <w:bottom w:val="none" w:sz="0" w:space="0" w:color="auto"/>
        <w:right w:val="none" w:sz="0" w:space="0" w:color="auto"/>
      </w:divBdr>
    </w:div>
    <w:div w:id="731541530">
      <w:bodyDiv w:val="1"/>
      <w:marLeft w:val="0"/>
      <w:marRight w:val="0"/>
      <w:marTop w:val="0"/>
      <w:marBottom w:val="0"/>
      <w:divBdr>
        <w:top w:val="none" w:sz="0" w:space="0" w:color="auto"/>
        <w:left w:val="none" w:sz="0" w:space="0" w:color="auto"/>
        <w:bottom w:val="none" w:sz="0" w:space="0" w:color="auto"/>
        <w:right w:val="none" w:sz="0" w:space="0" w:color="auto"/>
      </w:divBdr>
      <w:divsChild>
        <w:div w:id="1132285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183173">
      <w:bodyDiv w:val="1"/>
      <w:marLeft w:val="0"/>
      <w:marRight w:val="0"/>
      <w:marTop w:val="0"/>
      <w:marBottom w:val="0"/>
      <w:divBdr>
        <w:top w:val="none" w:sz="0" w:space="0" w:color="auto"/>
        <w:left w:val="none" w:sz="0" w:space="0" w:color="auto"/>
        <w:bottom w:val="none" w:sz="0" w:space="0" w:color="auto"/>
        <w:right w:val="none" w:sz="0" w:space="0" w:color="auto"/>
      </w:divBdr>
    </w:div>
    <w:div w:id="1194610603">
      <w:bodyDiv w:val="1"/>
      <w:marLeft w:val="0"/>
      <w:marRight w:val="0"/>
      <w:marTop w:val="0"/>
      <w:marBottom w:val="0"/>
      <w:divBdr>
        <w:top w:val="none" w:sz="0" w:space="0" w:color="auto"/>
        <w:left w:val="none" w:sz="0" w:space="0" w:color="auto"/>
        <w:bottom w:val="none" w:sz="0" w:space="0" w:color="auto"/>
        <w:right w:val="none" w:sz="0" w:space="0" w:color="auto"/>
      </w:divBdr>
      <w:divsChild>
        <w:div w:id="800610949">
          <w:marLeft w:val="0"/>
          <w:marRight w:val="0"/>
          <w:marTop w:val="0"/>
          <w:marBottom w:val="0"/>
          <w:divBdr>
            <w:top w:val="none" w:sz="0" w:space="0" w:color="auto"/>
            <w:left w:val="none" w:sz="0" w:space="0" w:color="auto"/>
            <w:bottom w:val="none" w:sz="0" w:space="0" w:color="auto"/>
            <w:right w:val="none" w:sz="0" w:space="0" w:color="auto"/>
          </w:divBdr>
          <w:divsChild>
            <w:div w:id="189999949">
              <w:marLeft w:val="0"/>
              <w:marRight w:val="0"/>
              <w:marTop w:val="0"/>
              <w:marBottom w:val="0"/>
              <w:divBdr>
                <w:top w:val="none" w:sz="0" w:space="0" w:color="auto"/>
                <w:left w:val="none" w:sz="0" w:space="0" w:color="auto"/>
                <w:bottom w:val="none" w:sz="0" w:space="0" w:color="auto"/>
                <w:right w:val="none" w:sz="0" w:space="0" w:color="auto"/>
              </w:divBdr>
              <w:divsChild>
                <w:div w:id="1326543430">
                  <w:marLeft w:val="0"/>
                  <w:marRight w:val="0"/>
                  <w:marTop w:val="0"/>
                  <w:marBottom w:val="0"/>
                  <w:divBdr>
                    <w:top w:val="none" w:sz="0" w:space="0" w:color="auto"/>
                    <w:left w:val="none" w:sz="0" w:space="0" w:color="auto"/>
                    <w:bottom w:val="none" w:sz="0" w:space="0" w:color="auto"/>
                    <w:right w:val="none" w:sz="0" w:space="0" w:color="auto"/>
                  </w:divBdr>
                  <w:divsChild>
                    <w:div w:id="115950235">
                      <w:marLeft w:val="-150"/>
                      <w:marRight w:val="-150"/>
                      <w:marTop w:val="0"/>
                      <w:marBottom w:val="0"/>
                      <w:divBdr>
                        <w:top w:val="none" w:sz="0" w:space="0" w:color="auto"/>
                        <w:left w:val="none" w:sz="0" w:space="0" w:color="auto"/>
                        <w:bottom w:val="none" w:sz="0" w:space="0" w:color="auto"/>
                        <w:right w:val="none" w:sz="0" w:space="0" w:color="auto"/>
                      </w:divBdr>
                      <w:divsChild>
                        <w:div w:id="1951008899">
                          <w:marLeft w:val="0"/>
                          <w:marRight w:val="0"/>
                          <w:marTop w:val="0"/>
                          <w:marBottom w:val="0"/>
                          <w:divBdr>
                            <w:top w:val="none" w:sz="0" w:space="0" w:color="auto"/>
                            <w:left w:val="none" w:sz="0" w:space="0" w:color="auto"/>
                            <w:bottom w:val="none" w:sz="0" w:space="0" w:color="auto"/>
                            <w:right w:val="none" w:sz="0" w:space="0" w:color="auto"/>
                          </w:divBdr>
                          <w:divsChild>
                            <w:div w:id="1859275751">
                              <w:marLeft w:val="0"/>
                              <w:marRight w:val="0"/>
                              <w:marTop w:val="0"/>
                              <w:marBottom w:val="0"/>
                              <w:divBdr>
                                <w:top w:val="none" w:sz="0" w:space="0" w:color="auto"/>
                                <w:left w:val="none" w:sz="0" w:space="0" w:color="auto"/>
                                <w:bottom w:val="none" w:sz="0" w:space="0" w:color="auto"/>
                                <w:right w:val="none" w:sz="0" w:space="0" w:color="auto"/>
                              </w:divBdr>
                              <w:divsChild>
                                <w:div w:id="778842722">
                                  <w:marLeft w:val="0"/>
                                  <w:marRight w:val="0"/>
                                  <w:marTop w:val="0"/>
                                  <w:marBottom w:val="300"/>
                                  <w:divBdr>
                                    <w:top w:val="none" w:sz="0" w:space="0" w:color="auto"/>
                                    <w:left w:val="none" w:sz="0" w:space="0" w:color="auto"/>
                                    <w:bottom w:val="none" w:sz="0" w:space="0" w:color="auto"/>
                                    <w:right w:val="none" w:sz="0" w:space="0" w:color="auto"/>
                                  </w:divBdr>
                                  <w:divsChild>
                                    <w:div w:id="694767846">
                                      <w:marLeft w:val="0"/>
                                      <w:marRight w:val="0"/>
                                      <w:marTop w:val="0"/>
                                      <w:marBottom w:val="0"/>
                                      <w:divBdr>
                                        <w:top w:val="none" w:sz="0" w:space="0" w:color="auto"/>
                                        <w:left w:val="none" w:sz="0" w:space="0" w:color="auto"/>
                                        <w:bottom w:val="none" w:sz="0" w:space="0" w:color="auto"/>
                                        <w:right w:val="none" w:sz="0" w:space="0" w:color="auto"/>
                                      </w:divBdr>
                                      <w:divsChild>
                                        <w:div w:id="1193764549">
                                          <w:marLeft w:val="0"/>
                                          <w:marRight w:val="0"/>
                                          <w:marTop w:val="0"/>
                                          <w:marBottom w:val="0"/>
                                          <w:divBdr>
                                            <w:top w:val="none" w:sz="0" w:space="0" w:color="auto"/>
                                            <w:left w:val="none" w:sz="0" w:space="0" w:color="auto"/>
                                            <w:bottom w:val="none" w:sz="0" w:space="0" w:color="auto"/>
                                            <w:right w:val="none" w:sz="0" w:space="0" w:color="auto"/>
                                          </w:divBdr>
                                          <w:divsChild>
                                            <w:div w:id="458762655">
                                              <w:marLeft w:val="0"/>
                                              <w:marRight w:val="0"/>
                                              <w:marTop w:val="0"/>
                                              <w:marBottom w:val="0"/>
                                              <w:divBdr>
                                                <w:top w:val="none" w:sz="0" w:space="0" w:color="auto"/>
                                                <w:left w:val="none" w:sz="0" w:space="0" w:color="auto"/>
                                                <w:bottom w:val="none" w:sz="0" w:space="0" w:color="auto"/>
                                                <w:right w:val="none" w:sz="0" w:space="0" w:color="auto"/>
                                              </w:divBdr>
                                              <w:divsChild>
                                                <w:div w:id="600651817">
                                                  <w:marLeft w:val="0"/>
                                                  <w:marRight w:val="0"/>
                                                  <w:marTop w:val="0"/>
                                                  <w:marBottom w:val="0"/>
                                                  <w:divBdr>
                                                    <w:top w:val="none" w:sz="0" w:space="0" w:color="auto"/>
                                                    <w:left w:val="none" w:sz="0" w:space="0" w:color="auto"/>
                                                    <w:bottom w:val="none" w:sz="0" w:space="0" w:color="auto"/>
                                                    <w:right w:val="none" w:sz="0" w:space="0" w:color="auto"/>
                                                  </w:divBdr>
                                                  <w:divsChild>
                                                    <w:div w:id="383405883">
                                                      <w:marLeft w:val="0"/>
                                                      <w:marRight w:val="0"/>
                                                      <w:marTop w:val="0"/>
                                                      <w:marBottom w:val="0"/>
                                                      <w:divBdr>
                                                        <w:top w:val="none" w:sz="0" w:space="0" w:color="auto"/>
                                                        <w:left w:val="none" w:sz="0" w:space="0" w:color="auto"/>
                                                        <w:bottom w:val="none" w:sz="0" w:space="0" w:color="auto"/>
                                                        <w:right w:val="none" w:sz="0" w:space="0" w:color="auto"/>
                                                      </w:divBdr>
                                                      <w:divsChild>
                                                        <w:div w:id="432631559">
                                                          <w:marLeft w:val="0"/>
                                                          <w:marRight w:val="0"/>
                                                          <w:marTop w:val="0"/>
                                                          <w:marBottom w:val="0"/>
                                                          <w:divBdr>
                                                            <w:top w:val="none" w:sz="0" w:space="0" w:color="auto"/>
                                                            <w:left w:val="none" w:sz="0" w:space="0" w:color="auto"/>
                                                            <w:bottom w:val="none" w:sz="0" w:space="0" w:color="auto"/>
                                                            <w:right w:val="none" w:sz="0" w:space="0" w:color="auto"/>
                                                          </w:divBdr>
                                                          <w:divsChild>
                                                            <w:div w:id="16396956">
                                                              <w:marLeft w:val="0"/>
                                                              <w:marRight w:val="0"/>
                                                              <w:marTop w:val="0"/>
                                                              <w:marBottom w:val="0"/>
                                                              <w:divBdr>
                                                                <w:top w:val="none" w:sz="0" w:space="0" w:color="auto"/>
                                                                <w:left w:val="none" w:sz="0" w:space="0" w:color="auto"/>
                                                                <w:bottom w:val="none" w:sz="0" w:space="0" w:color="auto"/>
                                                                <w:right w:val="none" w:sz="0" w:space="0" w:color="auto"/>
                                                              </w:divBdr>
                                                              <w:divsChild>
                                                                <w:div w:id="907377956">
                                                                  <w:marLeft w:val="3"/>
                                                                  <w:marRight w:val="3"/>
                                                                  <w:marTop w:val="0"/>
                                                                  <w:marBottom w:val="0"/>
                                                                  <w:divBdr>
                                                                    <w:top w:val="single" w:sz="6" w:space="0" w:color="112449"/>
                                                                    <w:left w:val="single" w:sz="6" w:space="0" w:color="112449"/>
                                                                    <w:bottom w:val="single" w:sz="6" w:space="0" w:color="112449"/>
                                                                    <w:right w:val="single" w:sz="6" w:space="0" w:color="112449"/>
                                                                  </w:divBdr>
                                                                  <w:divsChild>
                                                                    <w:div w:id="19512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4107989">
      <w:bodyDiv w:val="1"/>
      <w:marLeft w:val="0"/>
      <w:marRight w:val="0"/>
      <w:marTop w:val="0"/>
      <w:marBottom w:val="0"/>
      <w:divBdr>
        <w:top w:val="none" w:sz="0" w:space="0" w:color="auto"/>
        <w:left w:val="none" w:sz="0" w:space="0" w:color="auto"/>
        <w:bottom w:val="none" w:sz="0" w:space="0" w:color="auto"/>
        <w:right w:val="none" w:sz="0" w:space="0" w:color="auto"/>
      </w:divBdr>
    </w:div>
    <w:div w:id="17762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2.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customXml" Target="ink/ink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ustomXml" Target="ink/ink1.xml"/><Relationship Id="rId31" Type="http://schemas.openxmlformats.org/officeDocument/2006/relationships/customXml" Target="ink/ink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customXml" Target="ink/ink3.xml"/><Relationship Id="rId30" Type="http://schemas.openxmlformats.org/officeDocument/2006/relationships/image" Target="media/image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aylor\Local%20Settings\Temporary%20Internet%20Files\OLK60D\Full%20decision%20FTT%20tax%202010%20(2).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13:18:20.392"/>
    </inkml:context>
    <inkml:brush xml:id="br0">
      <inkml:brushProperty name="width" value="0.05" units="cm"/>
      <inkml:brushProperty name="height" value="0.05" units="cm"/>
    </inkml:brush>
  </inkml:definitions>
  <inkml:trace contextRef="#ctx0" brushRef="#br0">1 0 32767,'19'72'-638,"4"-1"0,11 20 638,1-17-1670,-14-32-20,-1 0 0,8 33 1690,-3 17-1666,8 70 1666,-21-99-560,2-1-578,2-1-1,2-1 1,4 0-1,1-2 1,11 14 1138,-26-55-186,-3-5-196,4 8-1368,0-1 0,6 8 1750,-13-25-229,0 0-1,-1 1 1,1-1-1,0 0 1,0 0-1,0 0 1,0-1-1,0 1 230,-1-1-64,0-1-1,-1 0 1,1 1-1,0-1 1,0 0-1,-1 1 1,1-1-1,0 0 1,0 0-1,-1 0 1,1 0-1,0 1 1,0-1-1,-1 0 0,1 0 1,0-1-1,0 1 1,0 0-1,-1 0 1,1 0-1,0 0 1,0-1 64,2-1-74,-1 0 1,1 0-1,0 0 1,-1 0-1,0 0 1,0-1-1,1 1 0,-1-1 1,-1 0-1,1 1 1,0-1 73,25-46 509,0 2 1211,-26 44-1385,1 1 0,0-1 0,0 1 1,0 0-1,0 0 0,0 0 0,0 0 0,0 0 0,0 0 1,1 0-1,-1 1 0,1-1 0,0 1 0,-1 0 0,1-1 1,0 1-1,0 1 0,2-2-335,6-1 1910,-9 1-1545,0 0 0,0 1-1,0-1 1,0 0-1,-1-1 1,1 1-1,0 0 1,-1 0-1,0-1 1,1 1-1,-1-1 1,0 1-1,0-1 1,0-1-365,-1 4 0,1-4 697,0-1-1,0 0 1,0 0 0,-1 0-1,1 0 1,-1 0 0,0 0-1,-1-2-696,2-43 694,8-47-694,-9 95 14,0-1 0,0 1 0,1 0 0,-1 0-1,1 0 1,0 0 0,0 0 0,0 0 0,-1 0 0,2 0-1,-1 1 1,0-1 0,0 0 0,1 0 0,0 0-14,-1 1 8,0 1-1,-1 0 1,1-1 0,0 1 0,-1 0 0,1 0 0,0 0-1,0 0 1,-1 0 0,1 0 0,0 0 0,0 0 0,-1 0-1,1 0 1,0 0 0,0 0 0,-1 1 0,1-1-1,0 0 1,-1 0 0,1 1 0,0-1 0,-1 0 0,1 1-1,0-1 1,-1 1-8,19 14-165,12 9-102,-10-15 350,-18-8-104,0 0-1,0 1 0,0-1 1,0 0-1,-1 1 1,1 0-1,0-1 0,-1 1 1,1 0-1,-1 1 1,1-1-1,-1 0 0,0 1 22,-1-1-184,0 0-1,0 1 1,0-1-1,0 1 1,-1-1-1,1 1 1,-1-1-1,1 1 1,-1-1-1,0 1 1,0-1-1,0 1 1,0-1-1,-1 1 1,1-1-1,-1 1 0,0-1 1,1 1-1,-1-1 1,0 1-1,0-1 1,-1 0-1,0 2 185,1-3-116,1-1-1,-1 1 0,0-1 1,1 0-1,-1 1 0,0-1 1,1 0-1,-1 1 1,0-1-1,0 0 0,1 0 1,-1 0-1,0 0 0,0 0 1,0 0-1,1 0 0,-1 0 1,0 0-1,0 0 0,1 0 1,-1 0-1,0 0 0,0-1 1,1 1-1,-1 0 117,-17-10-2123,18 10 2097,0 0 1,0-1-1,-1 1 1,1 0 0,0 0-1,0-1 1,-1 1-1,1 0 1,0 0-1,0 0 1,-1 0-1,1 0 1,0-1-1,-1 1 1,1 0-1,0 0 1,0 0-1,-1 0 1,1 0 0,0 0-1,-1 0 1,1 0-1,0 0 1,-1 0-1,1 0 1,0 0-1,-1 0 1,1 0-1,0 0 1,-1 1 25,-9 17-1345,-56 109-7092,27-65 7698,31-50 739,0-1 0,0-1 0,-1 0 0,0 0 0,-7 6 0,-30 13-301,27-17-530,10-5-605,6-5-5,3-6-90,0-2 686,0-7-357,-1 6 950,1 1 0,0-1 0,0 1 1,0-1-1,2-4 252,-2 11 34,0 0-1,0-1 1,0 1 0,0 0 0,0 0-1,1 0 1,-1 0 0,0 0 0,0 0 0,0 0-1,0 0 1,0 0 0,1 0 0,-1 0-1,0 0 1,0 0 0,0 0 0,0 0-1,0 0 1,1 0 0,-1 0 0,0 0 0,0 0-1,0 0 1,0 0 0,0 0 0,0 0-1,1 0 1,-1 0 0,0 0 0,0 0-1,0 0 1,0 1 0,0-1 0,0 0 0,1 0-1,-1 0 1,0 0 0,0 0 0,0 0-1,0 0 1,0 1 0,0-1 0,0 0-1,0 0 1,0 0 0,0 0 0,0 0 0,0 1-1,0-1 1,0 0 0,0 0 0,0 0-1,0 0 1,0 0 0,0 1 0,0-1-1,0 0-33,6 19 1798,5 31 54,-9-36-2746,7-24 968,-1 0 1,-1 0-1,1-1 1,-2 0-1,6-11-74,39-61-1114,-30 56-1395,2 0 0,6-5 2509,-12 15-717,3-3 246,-19 19 469,-1 1-1,1 0 0,-1 0 0,0-1 1,1 1-1,-1 0 0,0-1 1,0 1-1,1 0 0,-1-1 1,0 1-1,0-1 0,1 1 1,-1 0-1,0-1 0,0 1 1,0-1-1,0 1 0,0-1 0,0 1 1,1-1-1,-1 1 0,0 0 1,0-1-1,-1 0 3,-13 2 0,11-1 0,0 1 0,0-1 0,0 0 0,0 1 0,1-1 0,-1-1 0,0 1 0,0 0 0,0-1 0,0 1 0,0-1 0,-1 0 0,3 0 0,0 0 0,0 0 0,0 0 0,-1 0 0,1 0 0,0 0 0,1-1 0,-1 1 0,0 0 0,0 0 0,0-1 0,1 1 0,-1-1 0,1 1 0,-1 0 0,1-1 0,-1 1 0,1-1 0,0 1 0,0-2 0,-1-2 0,1 1 0,0-1 0,0 1 0,1-1 0,0 1 0,0-1 0,0 1 0,0-1 0,1-1 0,1-2 0,1-1 0,0 1 0,1 0 0,-1 0 0,2 0 0,-1 1 0,1 0 0,0 0 0,1 0 0,6-5 0,-10 10 0,-1 1 0,1-1 0,-1 1 0,1-1 0,0 1 0,0 0 0,0 0 0,0 0 0,0 1 0,0-1 0,0 1 0,0-1 0,0 1 0,0 0 0,0 0 0,0 1 0,0-1 0,0 1 0,0-1 0,0 1 0,-2-1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0T16:27:18.831"/>
    </inkml:context>
    <inkml:brush xml:id="br0">
      <inkml:brushProperty name="width" value="0.05" units="cm"/>
      <inkml:brushProperty name="height" value="0.05" units="cm"/>
    </inkml:brush>
  </inkml:definitions>
  <inkml:trace contextRef="#ctx0" brushRef="#br0">1 71 32767,'0'0'0,"0"0"0,0 0 0,0 0 0,44-40 0,-44 40 0,0 0 0,52-26 0,-52 26 0,45-4 0,-45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7T17:06:33.429"/>
    </inkml:context>
    <inkml:brush xml:id="br0">
      <inkml:brushProperty name="width" value="0.05" units="cm"/>
      <inkml:brushProperty name="height" value="0.05" units="cm"/>
    </inkml:brush>
  </inkml:definitions>
  <inkml:trace contextRef="#ctx0" brushRef="#br0">60 149 31710,'50'-59'0,"-50"59"0,0 0 0,0 0 0,-50 13 0,52-103 0,-63 78 0,61 12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4T17:52:20.922"/>
    </inkml:context>
    <inkml:brush xml:id="br0">
      <inkml:brushProperty name="width" value="0.05" units="cm"/>
      <inkml:brushProperty name="height" value="0.05" units="cm"/>
    </inkml:brush>
  </inkml:definitions>
  <inkml:trace contextRef="#ctx0" brushRef="#br0">268 145 25304,'-45'-23'-11691,"71"-8"32,-95 6 9705,69 25 1954,-136-66 0,93 112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C9048F3305740A7CEE9A1C2A3DA80" ma:contentTypeVersion="12" ma:contentTypeDescription="Create a new document." ma:contentTypeScope="" ma:versionID="142a1fc116e444645fc673bed737af2a">
  <xsd:schema xmlns:xsd="http://www.w3.org/2001/XMLSchema" xmlns:xs="http://www.w3.org/2001/XMLSchema" xmlns:p="http://schemas.microsoft.com/office/2006/metadata/properties" xmlns:ns3="a7f1d571-095d-46ee-93f8-2a2f1141bb8a" xmlns:ns4="86abaa42-7687-48e7-b1bf-5cd8f163f9f9" targetNamespace="http://schemas.microsoft.com/office/2006/metadata/properties" ma:root="true" ma:fieldsID="c31940ef5c7188416c7ff8eb7294d549" ns3:_="" ns4:_="">
    <xsd:import namespace="a7f1d571-095d-46ee-93f8-2a2f1141bb8a"/>
    <xsd:import namespace="86abaa42-7687-48e7-b1bf-5cd8f163f9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1d571-095d-46ee-93f8-2a2f1141bb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baa42-7687-48e7-b1bf-5cd8f163f9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88DB-CA98-42BC-8DE3-C0BDF9A1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1d571-095d-46ee-93f8-2a2f1141bb8a"/>
    <ds:schemaRef ds:uri="86abaa42-7687-48e7-b1bf-5cd8f163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EC4CD-4962-451B-8E36-A5FB145B260D}">
  <ds:schemaRefs>
    <ds:schemaRef ds:uri="http://schemas.openxmlformats.org/package/2006/metadata/core-properties"/>
    <ds:schemaRef ds:uri="http://schemas.microsoft.com/office/2006/documentManagement/types"/>
    <ds:schemaRef ds:uri="http://schemas.microsoft.com/office/infopath/2007/PartnerControls"/>
    <ds:schemaRef ds:uri="86abaa42-7687-48e7-b1bf-5cd8f163f9f9"/>
    <ds:schemaRef ds:uri="http://purl.org/dc/elements/1.1/"/>
    <ds:schemaRef ds:uri="http://schemas.microsoft.com/office/2006/metadata/properties"/>
    <ds:schemaRef ds:uri="http://purl.org/dc/terms/"/>
    <ds:schemaRef ds:uri="a7f1d571-095d-46ee-93f8-2a2f1141bb8a"/>
    <ds:schemaRef ds:uri="http://www.w3.org/XML/1998/namespace"/>
    <ds:schemaRef ds:uri="http://purl.org/dc/dcmitype/"/>
  </ds:schemaRefs>
</ds:datastoreItem>
</file>

<file path=customXml/itemProps3.xml><?xml version="1.0" encoding="utf-8"?>
<ds:datastoreItem xmlns:ds="http://schemas.openxmlformats.org/officeDocument/2006/customXml" ds:itemID="{59A114F3-298E-4235-93E7-58C0F70061D6}">
  <ds:schemaRefs>
    <ds:schemaRef ds:uri="http://schemas.microsoft.com/sharepoint/v3/contenttype/forms"/>
  </ds:schemaRefs>
</ds:datastoreItem>
</file>

<file path=customXml/itemProps4.xml><?xml version="1.0" encoding="utf-8"?>
<ds:datastoreItem xmlns:ds="http://schemas.openxmlformats.org/officeDocument/2006/customXml" ds:itemID="{304020FC-0F2F-4BA1-955B-3EA16327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decision FTT tax 2010 (2).dot</Template>
  <TotalTime>1</TotalTime>
  <Pages>29</Pages>
  <Words>12704</Words>
  <Characters>61668</Characters>
  <Application>Microsoft Office Word</Application>
  <DocSecurity>0</DocSecurity>
  <Lines>513</Lines>
  <Paragraphs>148</Paragraphs>
  <ScaleCrop>false</ScaleCrop>
  <HeadingPairs>
    <vt:vector size="2" baseType="variant">
      <vt:variant>
        <vt:lpstr>Title</vt:lpstr>
      </vt:variant>
      <vt:variant>
        <vt:i4>1</vt:i4>
      </vt:variant>
    </vt:vector>
  </HeadingPairs>
  <TitlesOfParts>
    <vt:vector size="1" baseType="lpstr">
      <vt:lpstr>$</vt:lpstr>
    </vt:vector>
  </TitlesOfParts>
  <Company>John Avery Jones</Company>
  <LinksUpToDate>false</LinksUpToDate>
  <CharactersWithSpaces>74224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Itaylor</dc:creator>
  <cp:keywords/>
  <cp:lastModifiedBy>Kebe, Hawa</cp:lastModifiedBy>
  <cp:revision>2</cp:revision>
  <cp:lastPrinted>2020-11-26T18:29:00Z</cp:lastPrinted>
  <dcterms:created xsi:type="dcterms:W3CDTF">2020-12-14T17:05:00Z</dcterms:created>
  <dcterms:modified xsi:type="dcterms:W3CDTF">2020-12-14T17:05:00Z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79139d34-bfb6-42ae-aaa6-b9ba678e6439</vt:lpwstr>
  </property>
  <property fmtid="{D5CDD505-2E9C-101B-9397-08002B2CF9AE}" pid="3" name="ContentTypeId">
    <vt:lpwstr>0x010100006C9048F3305740A7CEE9A1C2A3DA80</vt:lpwstr>
  </property>
  <property fmtid="{D5CDD505-2E9C-101B-9397-08002B2CF9AE}" pid="4" name="DMSLink.DOCNAME">
    <vt:lpwstr>Gallaher UT Final</vt:lpwstr>
  </property>
  <property fmtid="{D5CDD505-2E9C-101B-9397-08002B2CF9AE}" pid="5" name="DMSLink.DOCNUMBER">
    <vt:lpwstr>81270912</vt:lpwstr>
  </property>
  <property fmtid="{D5CDD505-2E9C-101B-9397-08002B2CF9AE}" pid="6" name="DMSLink.VERSION">
    <vt:lpwstr>3</vt:lpwstr>
  </property>
  <property fmtid="{D5CDD505-2E9C-101B-9397-08002B2CF9AE}" pid="7" name="DMSLink.TYPIST.USER_ID">
    <vt:lpwstr>DAG</vt:lpwstr>
  </property>
  <property fmtid="{D5CDD505-2E9C-101B-9397-08002B2CF9AE}" pid="8" name="DMSLink.TYPIST.FULL_NAME">
    <vt:lpwstr>Greenbank, Ashley (DAG)</vt:lpwstr>
  </property>
  <property fmtid="{D5CDD505-2E9C-101B-9397-08002B2CF9AE}" pid="9" name="DMSLink.AUTHOR.USER_ID">
    <vt:lpwstr>DAG</vt:lpwstr>
  </property>
  <property fmtid="{D5CDD505-2E9C-101B-9397-08002B2CF9AE}" pid="10" name="DMSLink.AUTHOR.FULL_NAME">
    <vt:lpwstr>Greenbank, Ashley (DAG)</vt:lpwstr>
  </property>
  <property fmtid="{D5CDD505-2E9C-101B-9397-08002B2CF9AE}" pid="11" name="DMSLink.CLIENT_ID.CLIENT_ID">
    <vt:lpwstr>900009</vt:lpwstr>
  </property>
  <property fmtid="{D5CDD505-2E9C-101B-9397-08002B2CF9AE}" pid="12" name="DMSLink.CLIENT_ID.CLIENT_NAME">
    <vt:lpwstr>NON CHARGEABLE TIME</vt:lpwstr>
  </property>
  <property fmtid="{D5CDD505-2E9C-101B-9397-08002B2CF9AE}" pid="13" name="DMSLink.MATTER.MATTER_ID">
    <vt:lpwstr>000996</vt:lpwstr>
  </property>
  <property fmtid="{D5CDD505-2E9C-101B-9397-08002B2CF9AE}" pid="14" name="DMSLink.MATTER.MATTER_NAME">
    <vt:lpwstr>NON-CHARGEABLE - TAX TRIBUNAL BUSINESS FOR TRV/DAG</vt:lpwstr>
  </property>
  <property fmtid="{D5CDD505-2E9C-101B-9397-08002B2CF9AE}" pid="15" name="DMSLink.Reference">
    <vt:lpwstr>81270912.3</vt:lpwstr>
  </property>
  <property fmtid="{D5CDD505-2E9C-101B-9397-08002B2CF9AE}" pid="16" name="DMSLink.DOCUMENTTYPE.TYPE_ID">
    <vt:lpwstr>GEN</vt:lpwstr>
  </property>
  <property fmtid="{D5CDD505-2E9C-101B-9397-08002B2CF9AE}" pid="17" name="DMSLink.DOCUMENTTYPE.DESCRIPTION">
    <vt:lpwstr>General Document</vt:lpwstr>
  </property>
  <property fmtid="{D5CDD505-2E9C-101B-9397-08002B2CF9AE}" pid="18" name="DMSLink.LIBRARY">
    <vt:lpwstr>LIVE_LIB</vt:lpwstr>
  </property>
  <property fmtid="{D5CDD505-2E9C-101B-9397-08002B2CF9AE}" pid="19" name="DMSLink.APPLICATION">
    <vt:lpwstr>WORDX</vt:lpwstr>
  </property>
  <property fmtid="{D5CDD505-2E9C-101B-9397-08002B2CF9AE}" pid="20" name="DMSLink.APPLICATION_DESC">
    <vt:lpwstr>Microsoft Word 2010</vt:lpwstr>
  </property>
  <property fmtid="{D5CDD505-2E9C-101B-9397-08002B2CF9AE}" pid="21" name="Draft">
    <vt:lpwstr/>
  </property>
</Properties>
</file>